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01A2B"/>
          <w:sz w:val="84"/>
          <w:szCs w:val="84"/>
        </w:rPr>
        <w:t xml:space="preserve">Time</w:t>
      </w:r>
    </w:p>
    <w:p>
      <w:pPr>
        <w:spacing w:after="40"/>
        <w:jc w:val="center"/>
      </w:pPr>
      <w:r>
        <w:rPr>
          <w:b/>
          <w:bCs/>
          <w:color w:val="B8892E"/>
          <w:sz w:val="30"/>
          <w:szCs w:val="30"/>
        </w:rPr>
        <w:t xml:space="preserve">HR &amp; Payroll — Egypt</w:t>
      </w:r>
    </w:p>
    <w:p>
      <w:pPr>
        <w:spacing w:after="600"/>
        <w:jc w:val="center"/>
      </w:pPr>
      <w:r>
        <w:rPr>
          <w:color w:val="6A7688"/>
          <w:sz w:val="26"/>
          <w:szCs w:val="26"/>
        </w:rPr>
        <w:t xml:space="preserve">Installation &amp; User Manual</w:t>
      </w:r>
    </w:p>
    <w:p>
      <w:pPr>
        <w:jc w:val="center"/>
      </w:pPr>
      <w:r>
        <w:rPr>
          <w:color w:val="6A7688"/>
          <w:sz w:val="20"/>
          <w:szCs w:val="20"/>
        </w:rPr>
        <w:t xml:space="preserve">Bilingual (English / العربية) · Flask + Postgres · Render + Neon</w:t>
      </w:r>
    </w:p>
    <w:p>
      <w:r>
        <w:br w:type="page"/>
      </w:r>
    </w:p>
    <w:p>
      <w:pPr>
        <w:pStyle w:val="Heading1"/>
        <w:spacing w:after="140" w:before="320"/>
      </w:pPr>
      <w:r>
        <w:rPr>
          <w:b/>
          <w:bCs/>
          <w:color w:val="101A2B"/>
        </w:rPr>
        <w:t xml:space="preserve">Contents</w:t>
      </w:r>
    </w:p>
    <w:p>
      <w:pPr>
        <w:spacing w:after="70"/>
      </w:pPr>
      <w:r>
        <w:rPr>
          <w:b/>
          <w:bCs/>
          <w:color w:val="101A2B"/>
          <w:sz w:val="22"/>
          <w:szCs w:val="22"/>
        </w:rPr>
        <w:t xml:space="preserve">1. Introduction</w:t>
      </w:r>
    </w:p>
    <w:p>
      <w:pPr>
        <w:spacing w:after="70"/>
      </w:pPr>
      <w:r>
        <w:rPr>
          <w:b/>
          <w:bCs/>
          <w:color w:val="101A2B"/>
          <w:sz w:val="22"/>
          <w:szCs w:val="22"/>
        </w:rPr>
        <w:t xml:space="preserve">2. Installation &amp; Deployment</w:t>
      </w:r>
    </w:p>
    <w:p>
      <w:pPr>
        <w:spacing w:after="40"/>
        <w:ind w:left="360"/>
      </w:pPr>
      <w:r>
        <w:rPr>
          <w:b w:val="false"/>
          <w:bCs w:val="false"/>
          <w:color w:val="1B2434"/>
          <w:sz w:val="20"/>
          <w:szCs w:val="20"/>
        </w:rPr>
        <w:t xml:space="preserve">2.1 What you need</w:t>
      </w:r>
    </w:p>
    <w:p>
      <w:pPr>
        <w:spacing w:after="40"/>
        <w:ind w:left="360"/>
      </w:pPr>
      <w:r>
        <w:rPr>
          <w:b w:val="false"/>
          <w:bCs w:val="false"/>
          <w:color w:val="1B2434"/>
          <w:sz w:val="20"/>
          <w:szCs w:val="20"/>
        </w:rPr>
        <w:t xml:space="preserve">2.2 Run it locally</w:t>
      </w:r>
    </w:p>
    <w:p>
      <w:pPr>
        <w:spacing w:after="40"/>
        <w:ind w:left="360"/>
      </w:pPr>
      <w:r>
        <w:rPr>
          <w:b w:val="false"/>
          <w:bCs w:val="false"/>
          <w:color w:val="1B2434"/>
          <w:sz w:val="20"/>
          <w:szCs w:val="20"/>
        </w:rPr>
        <w:t xml:space="preserve">2.3 Deploy to production</w:t>
      </w:r>
    </w:p>
    <w:p>
      <w:pPr>
        <w:spacing w:after="40"/>
        <w:ind w:left="360"/>
      </w:pPr>
      <w:r>
        <w:rPr>
          <w:b w:val="false"/>
          <w:bCs w:val="false"/>
          <w:color w:val="1B2434"/>
          <w:sz w:val="20"/>
          <w:szCs w:val="20"/>
        </w:rPr>
        <w:t xml:space="preserve">2.4 Load your data</w:t>
      </w:r>
    </w:p>
    <w:p>
      <w:pPr>
        <w:spacing w:after="40"/>
        <w:ind w:left="360"/>
      </w:pPr>
      <w:r>
        <w:rPr>
          <w:b w:val="false"/>
          <w:bCs w:val="false"/>
          <w:color w:val="1B2434"/>
          <w:sz w:val="20"/>
          <w:szCs w:val="20"/>
        </w:rPr>
        <w:t xml:space="preserve">2.5 Going-live checklist</w:t>
      </w:r>
    </w:p>
    <w:p>
      <w:pPr>
        <w:spacing w:after="40"/>
        <w:ind w:left="360"/>
      </w:pPr>
      <w:r>
        <w:rPr>
          <w:b w:val="false"/>
          <w:bCs w:val="false"/>
          <w:color w:val="1B2434"/>
          <w:sz w:val="20"/>
          <w:szCs w:val="20"/>
        </w:rPr>
        <w:t xml:space="preserve">2.6 Yearly and periodic maintenance</w:t>
      </w:r>
    </w:p>
    <w:p>
      <w:pPr>
        <w:spacing w:after="70"/>
      </w:pPr>
      <w:r>
        <w:rPr>
          <w:b/>
          <w:bCs/>
          <w:color w:val="101A2B"/>
          <w:sz w:val="22"/>
          <w:szCs w:val="22"/>
        </w:rPr>
        <w:t xml:space="preserve">3. User Manual</w:t>
      </w:r>
    </w:p>
    <w:p>
      <w:pPr>
        <w:spacing w:after="40"/>
        <w:ind w:left="360"/>
      </w:pPr>
      <w:r>
        <w:rPr>
          <w:b w:val="false"/>
          <w:bCs w:val="false"/>
          <w:color w:val="1B2434"/>
          <w:sz w:val="20"/>
          <w:szCs w:val="20"/>
        </w:rPr>
        <w:t xml:space="preserve">3.1 Signing in and language</w:t>
      </w:r>
    </w:p>
    <w:p>
      <w:pPr>
        <w:spacing w:after="40"/>
        <w:ind w:left="360"/>
      </w:pPr>
      <w:r>
        <w:rPr>
          <w:b w:val="false"/>
          <w:bCs w:val="false"/>
          <w:color w:val="1B2434"/>
          <w:sz w:val="20"/>
          <w:szCs w:val="20"/>
        </w:rPr>
        <w:t xml:space="preserve">3.2 Roles and the scheme of delegation</w:t>
      </w:r>
    </w:p>
    <w:p>
      <w:pPr>
        <w:spacing w:after="40"/>
        <w:ind w:left="360"/>
      </w:pPr>
      <w:r>
        <w:rPr>
          <w:b w:val="false"/>
          <w:bCs w:val="false"/>
          <w:color w:val="1B2434"/>
          <w:sz w:val="20"/>
          <w:szCs w:val="20"/>
        </w:rPr>
        <w:t xml:space="preserve">3.3 Settings</w:t>
      </w:r>
    </w:p>
    <w:p>
      <w:pPr>
        <w:spacing w:after="40"/>
        <w:ind w:left="360"/>
      </w:pPr>
      <w:r>
        <w:rPr>
          <w:b w:val="false"/>
          <w:bCs w:val="false"/>
          <w:color w:val="1B2434"/>
          <w:sz w:val="20"/>
          <w:szCs w:val="20"/>
        </w:rPr>
        <w:t xml:space="preserve">3.4 Departments, grades and spine points</w:t>
      </w:r>
    </w:p>
    <w:p>
      <w:pPr>
        <w:spacing w:after="40"/>
        <w:ind w:left="360"/>
      </w:pPr>
      <w:r>
        <w:rPr>
          <w:b w:val="false"/>
          <w:bCs w:val="false"/>
          <w:color w:val="1B2434"/>
          <w:sz w:val="20"/>
          <w:szCs w:val="20"/>
        </w:rPr>
        <w:t xml:space="preserve">3.5 Employees and contracts</w:t>
      </w:r>
    </w:p>
    <w:p>
      <w:pPr>
        <w:spacing w:after="40"/>
        <w:ind w:left="360"/>
      </w:pPr>
      <w:r>
        <w:rPr>
          <w:b w:val="false"/>
          <w:bCs w:val="false"/>
          <w:color w:val="1B2434"/>
          <w:sz w:val="20"/>
          <w:szCs w:val="20"/>
        </w:rPr>
        <w:t xml:space="preserve">3.6 Attendance</w:t>
      </w:r>
    </w:p>
    <w:p>
      <w:pPr>
        <w:spacing w:after="40"/>
        <w:ind w:left="360"/>
      </w:pPr>
      <w:r>
        <w:rPr>
          <w:b w:val="false"/>
          <w:bCs w:val="false"/>
          <w:color w:val="1B2434"/>
          <w:sz w:val="20"/>
          <w:szCs w:val="20"/>
        </w:rPr>
        <w:t xml:space="preserve">3.7 Leave, loans and medical benefits</w:t>
      </w:r>
    </w:p>
    <w:p>
      <w:pPr>
        <w:spacing w:after="40"/>
        <w:ind w:left="360"/>
      </w:pPr>
      <w:r>
        <w:rPr>
          <w:b w:val="false"/>
          <w:bCs w:val="false"/>
          <w:color w:val="1B2434"/>
          <w:sz w:val="20"/>
          <w:szCs w:val="20"/>
        </w:rPr>
        <w:t xml:space="preserve">3.8 Running payroll — the approval workflow</w:t>
      </w:r>
    </w:p>
    <w:p>
      <w:pPr>
        <w:spacing w:after="40"/>
        <w:ind w:left="360"/>
      </w:pPr>
      <w:r>
        <w:rPr>
          <w:b w:val="false"/>
          <w:bCs w:val="false"/>
          <w:color w:val="1B2434"/>
          <w:sz w:val="20"/>
          <w:szCs w:val="20"/>
        </w:rPr>
        <w:t xml:space="preserve">3.9 What Finance receives</w:t>
      </w:r>
    </w:p>
    <w:p>
      <w:pPr>
        <w:spacing w:after="40"/>
        <w:ind w:left="360"/>
      </w:pPr>
      <w:r>
        <w:rPr>
          <w:b w:val="false"/>
          <w:bCs w:val="false"/>
          <w:color w:val="1B2434"/>
          <w:sz w:val="20"/>
          <w:szCs w:val="20"/>
        </w:rPr>
        <w:t xml:space="preserve">3.10 Leave-pay provision (for Finance)</w:t>
      </w:r>
    </w:p>
    <w:p>
      <w:pPr>
        <w:spacing w:after="40"/>
        <w:ind w:left="360"/>
      </w:pPr>
      <w:r>
        <w:rPr>
          <w:b w:val="false"/>
          <w:bCs w:val="false"/>
          <w:color w:val="1B2434"/>
          <w:sz w:val="20"/>
          <w:szCs w:val="20"/>
        </w:rPr>
        <w:t xml:space="preserve">3.11 Reports</w:t>
      </w:r>
    </w:p>
    <w:p>
      <w:pPr>
        <w:spacing w:after="40"/>
        <w:ind w:left="360"/>
      </w:pPr>
      <w:r>
        <w:rPr>
          <w:b w:val="false"/>
          <w:bCs w:val="false"/>
          <w:color w:val="1B2434"/>
          <w:sz w:val="20"/>
          <w:szCs w:val="20"/>
        </w:rPr>
        <w:t xml:space="preserve">3.12 Users and audit log</w:t>
      </w:r>
    </w:p>
    <w:p>
      <w:pPr>
        <w:spacing w:after="70"/>
      </w:pPr>
      <w:r>
        <w:rPr>
          <w:b/>
          <w:bCs/>
          <w:color w:val="101A2B"/>
          <w:sz w:val="22"/>
          <w:szCs w:val="22"/>
        </w:rPr>
        <w:t xml:space="preserve">Appendix A — Statutory basis</w:t>
      </w:r>
    </w:p>
    <w:p>
      <w:pPr>
        <w:spacing w:after="70"/>
      </w:pPr>
      <w:r>
        <w:rPr>
          <w:b/>
          <w:bCs/>
          <w:color w:val="101A2B"/>
          <w:sz w:val="22"/>
          <w:szCs w:val="22"/>
        </w:rPr>
        <w:t xml:space="preserve">Appendix B — Troubleshooting</w:t>
      </w:r>
    </w:p>
    <w:p>
      <w:pPr>
        <w:spacing w:after="70"/>
      </w:pPr>
      <w:r>
        <w:rPr>
          <w:b/>
          <w:bCs/>
          <w:color w:val="101A2B"/>
          <w:sz w:val="22"/>
          <w:szCs w:val="22"/>
        </w:rPr>
        <w:t xml:space="preserve">Appendix C — Default logins</w:t>
      </w:r>
    </w:p>
    <w:p>
      <w:r>
        <w:br w:type="page"/>
      </w:r>
    </w:p>
    <w:p>
      <w:pPr>
        <w:pStyle w:val="Heading1"/>
        <w:spacing w:after="140" w:before="320"/>
      </w:pPr>
      <w:r>
        <w:rPr>
          <w:b/>
          <w:bCs/>
          <w:color w:val="101A2B"/>
        </w:rPr>
        <w:t xml:space="preserve">1. Introduction</w:t>
      </w:r>
    </w:p>
    <w:p>
      <w:pPr>
        <w:spacing w:after="120"/>
      </w:pPr>
      <w:r>
        <w:rPr>
          <w:sz w:val="21"/>
          <w:szCs w:val="21"/>
        </w:rPr>
        <w:t xml:space="preserve">Time is an HR and payroll system for companies operating under Egyptian labour law. It manages people, grades and spine points, attendance, leave, loans and medical benefits, and runs full monthly payroll — social insurance, income tax, net pay and payslips — through a maker-checker approval workflow, with an auditable social-insurance remittance schedule for the authority and a tracked monthly leave-pay provision for Finance.</w:t>
      </w:r>
    </w:p>
    <w:p>
      <w:pPr>
        <w:spacing w:after="120"/>
      </w:pPr>
      <w:r>
        <w:rPr>
          <w:sz w:val="21"/>
          <w:szCs w:val="21"/>
        </w:rPr>
        <w:t xml:space="preserve">The interface is bilingual: a toggle switches the whole application between English and Arabic, with Arabic shown right-to-left. Employment contracts are produced in Arabic, as required by Law 14/2025.</w:t>
      </w:r>
    </w:p>
    <w:p>
      <w:pPr>
        <w:spacing w:after="120"/>
      </w:pPr>
      <w:r>
        <w:rPr>
          <w:sz w:val="21"/>
          <w:szCs w:val="21"/>
        </w:rPr>
        <w:t xml:space="preserve">The system is a single web application built on the same stack as your other tools: Python/Flask with a database that is SQLite locally and PostgreSQL (Neon) in production, hosted on Render. Code lives on GitHub.</w:t>
      </w:r>
    </w:p>
    <w:p>
      <w:pPr>
        <w:pStyle w:val="Heading1"/>
        <w:spacing w:after="140" w:before="320"/>
      </w:pPr>
      <w:r>
        <w:rPr>
          <w:b/>
          <w:bCs/>
          <w:color w:val="101A2B"/>
        </w:rPr>
        <w:t xml:space="preserve">2. Installation &amp; Deployment</w:t>
      </w:r>
    </w:p>
    <w:p>
      <w:pPr>
        <w:pStyle w:val="Heading2"/>
        <w:spacing w:after="90" w:before="220"/>
      </w:pPr>
      <w:r>
        <w:rPr>
          <w:b/>
          <w:bCs/>
          <w:color w:val="B8892E"/>
        </w:rPr>
        <w:t xml:space="preserve">2.1 What you need</w:t>
      </w:r>
    </w:p>
    <w:p>
      <w:pPr>
        <w:pStyle w:val="ListParagraph"/>
        <w:numPr>
          <w:ilvl w:val="0"/>
          <w:numId w:val="2"/>
        </w:numPr>
        <w:spacing w:after="70"/>
      </w:pPr>
      <w:r>
        <w:rPr>
          <w:sz w:val="21"/>
          <w:szCs w:val="21"/>
        </w:rPr>
        <w:t xml:space="preserve">A GitHub account (to hold the code).</w:t>
      </w:r>
    </w:p>
    <w:p>
      <w:pPr>
        <w:pStyle w:val="ListParagraph"/>
        <w:numPr>
          <w:ilvl w:val="0"/>
          <w:numId w:val="2"/>
        </w:numPr>
        <w:spacing w:after="70"/>
      </w:pPr>
      <w:r>
        <w:rPr>
          <w:sz w:val="21"/>
          <w:szCs w:val="21"/>
        </w:rPr>
        <w:t xml:space="preserve">A Render account (to run the application).</w:t>
      </w:r>
    </w:p>
    <w:p>
      <w:pPr>
        <w:pStyle w:val="ListParagraph"/>
        <w:numPr>
          <w:ilvl w:val="0"/>
          <w:numId w:val="2"/>
        </w:numPr>
        <w:spacing w:after="70"/>
      </w:pPr>
      <w:r>
        <w:rPr>
          <w:sz w:val="21"/>
          <w:szCs w:val="21"/>
        </w:rPr>
        <w:t xml:space="preserve">A Neon account (for the PostgreSQL database).</w:t>
      </w:r>
    </w:p>
    <w:p>
      <w:pPr>
        <w:pStyle w:val="ListParagraph"/>
        <w:numPr>
          <w:ilvl w:val="0"/>
          <w:numId w:val="2"/>
        </w:numPr>
        <w:spacing w:after="70"/>
      </w:pPr>
      <w:r>
        <w:rPr>
          <w:sz w:val="21"/>
          <w:szCs w:val="21"/>
        </w:rPr>
        <w:t xml:space="preserve">The project files supplied as time-hr.zip.</w:t>
      </w:r>
    </w:p>
    <w:p>
      <w:pPr>
        <w:pStyle w:val="Heading2"/>
        <w:spacing w:after="90" w:before="220"/>
      </w:pPr>
      <w:r>
        <w:rPr>
          <w:b/>
          <w:bCs/>
          <w:color w:val="B8892E"/>
        </w:rPr>
        <w:t xml:space="preserve">2.2 Run it locally (optional, to try it first)</w:t>
      </w:r>
    </w:p>
    <w:p>
      <w:pPr>
        <w:pStyle w:val="ListParagraph"/>
        <w:numPr>
          <w:ilvl w:val="0"/>
          <w:numId w:val="3"/>
        </w:numPr>
        <w:spacing w:after="80"/>
      </w:pPr>
      <w:r>
        <w:rPr>
          <w:sz w:val="21"/>
          <w:szCs w:val="21"/>
        </w:rPr>
        <w:t xml:space="preserve">Install Python 3.12, then open a terminal in the project folder.</w:t>
      </w:r>
    </w:p>
    <w:p>
      <w:pPr>
        <w:pStyle w:val="ListParagraph"/>
        <w:numPr>
          <w:ilvl w:val="0"/>
          <w:numId w:val="3"/>
        </w:numPr>
        <w:spacing w:after="80"/>
      </w:pPr>
      <w:r>
        <w:rPr>
          <w:sz w:val="21"/>
          <w:szCs w:val="21"/>
        </w:rPr>
        <w:t xml:space="preserve">Run </w:t>
      </w:r>
      <w:r>
        <w:rPr>
          <w:rFonts w:ascii="Consolas" w:cs="Consolas" w:eastAsia="Consolas" w:hAnsi="Consolas"/>
          <w:color w:val="101A2B"/>
          <w:sz w:val="21"/>
          <w:szCs w:val="21"/>
        </w:rPr>
        <w:t xml:space="preserve">pip install -r requirements.txt</w:t>
      </w:r>
      <w:r>
        <w:rPr>
          <w:sz w:val="21"/>
          <w:szCs w:val="21"/>
        </w:rPr>
        <w:t xml:space="preserve">.</w:t>
      </w:r>
    </w:p>
    <w:p>
      <w:pPr>
        <w:pStyle w:val="ListParagraph"/>
        <w:numPr>
          <w:ilvl w:val="0"/>
          <w:numId w:val="3"/>
        </w:numPr>
        <w:spacing w:after="80"/>
      </w:pPr>
      <w:r>
        <w:rPr>
          <w:sz w:val="21"/>
          <w:szCs w:val="21"/>
        </w:rPr>
        <w:t xml:space="preserve">Run </w:t>
      </w:r>
      <w:r>
        <w:rPr>
          <w:rFonts w:ascii="Consolas" w:cs="Consolas" w:eastAsia="Consolas" w:hAnsi="Consolas"/>
          <w:color w:val="101A2B"/>
          <w:sz w:val="21"/>
          <w:szCs w:val="21"/>
        </w:rPr>
        <w:t xml:space="preserve">python app.py</w:t>
      </w:r>
      <w:r>
        <w:rPr>
          <w:sz w:val="21"/>
          <w:szCs w:val="21"/>
        </w:rPr>
        <w:t xml:space="preserve"> and open http://localhost:5000 in a browser.</w:t>
      </w:r>
    </w:p>
    <w:p>
      <w:pPr>
        <w:pStyle w:val="ListParagraph"/>
        <w:numPr>
          <w:ilvl w:val="0"/>
          <w:numId w:val="3"/>
        </w:numPr>
        <w:spacing w:after="80"/>
      </w:pPr>
      <w:r>
        <w:rPr>
          <w:sz w:val="21"/>
          <w:szCs w:val="21"/>
        </w:rPr>
        <w:t xml:space="preserve">Sign in with </w:t>
      </w:r>
      <w:r>
        <w:rPr>
          <w:b/>
          <w:bCs/>
          <w:sz w:val="21"/>
          <w:szCs w:val="21"/>
        </w:rPr>
        <w:t xml:space="preserve">admin@time.eg</w:t>
      </w:r>
      <w:r>
        <w:rPr>
          <w:sz w:val="21"/>
          <w:szCs w:val="21"/>
        </w:rPr>
        <w:t xml:space="preserve"> / </w:t>
      </w:r>
      <w:r>
        <w:rPr>
          <w:b/>
          <w:bCs/>
          <w:sz w:val="21"/>
          <w:szCs w:val="21"/>
        </w:rPr>
        <w:t xml:space="preserve">Time2026</w:t>
      </w:r>
      <w:r>
        <w:rPr>
          <w:sz w:val="21"/>
          <w:szCs w:val="21"/>
        </w:rPr>
        <w:t xml:space="preserve">. Demo data is loaded on first run.</w:t>
      </w:r>
    </w:p>
    <w:p>
      <w:pPr>
        <w:pStyle w:val="Heading2"/>
        <w:spacing w:after="90" w:before="220"/>
      </w:pPr>
      <w:r>
        <w:rPr>
          <w:b/>
          <w:bCs/>
          <w:color w:val="B8892E"/>
        </w:rPr>
        <w:t xml:space="preserve">2.3 Deploy to production</w:t>
      </w:r>
    </w:p>
    <w:p>
      <w:pPr>
        <w:spacing w:after="140"/>
      </w:pPr>
      <w:r>
        <w:rPr>
          <w:sz w:val="21"/>
          <w:szCs w:val="21"/>
        </w:rPr>
        <w:t xml:space="preserve">Deployment is GitHub → Render → Neon and takes about fifteen minutes.</w:t>
      </w:r>
    </w:p>
    <w:p>
      <w:pPr>
        <w:spacing w:after="120"/>
      </w:pPr>
      <w:r>
        <w:rPr>
          <w:b/>
          <w:bCs/>
          <w:sz w:val="21"/>
          <w:szCs w:val="21"/>
        </w:rPr>
        <w:t xml:space="preserve">Step 1 — Create the database. </w:t>
      </w:r>
      <w:r>
        <w:rPr>
          <w:sz w:val="21"/>
          <w:szCs w:val="21"/>
        </w:rPr>
        <w:t xml:space="preserve">In Neon, create a project in the London region and copy its pooled connection string (it begins postgresql://). You will paste this into Render.</w:t>
      </w:r>
    </w:p>
    <w:p>
      <w:pPr>
        <w:spacing w:after="120"/>
      </w:pPr>
      <w:r>
        <w:rPr>
          <w:b/>
          <w:bCs/>
          <w:sz w:val="21"/>
          <w:szCs w:val="21"/>
        </w:rPr>
        <w:t xml:space="preserve">Step 2 — Put the code on GitHub. </w:t>
      </w:r>
      <w:r>
        <w:rPr>
          <w:sz w:val="21"/>
          <w:szCs w:val="21"/>
        </w:rPr>
        <w:t xml:space="preserve">Create a new repository and upload the project files (GitHub Desktop keeps the folder structure intact, which is preferred).</w:t>
      </w:r>
    </w:p>
    <w:p>
      <w:pPr>
        <w:spacing w:after="120"/>
      </w:pPr>
      <w:r>
        <w:rPr>
          <w:b/>
          <w:bCs/>
          <w:sz w:val="21"/>
          <w:szCs w:val="21"/>
        </w:rPr>
        <w:t xml:space="preserve">Step 3 — Create the Render service. </w:t>
      </w:r>
      <w:r>
        <w:rPr>
          <w:sz w:val="21"/>
          <w:szCs w:val="21"/>
        </w:rPr>
        <w:t xml:space="preserve">In Render choose New → Blueprint and point it at the repository. The included render.yaml is detected automatically. When prompted, set the environment variables below.</w:t>
      </w:r>
    </w:p>
    <w:p>
      <w:pPr>
        <w:spacing w:after="120"/>
      </w:pP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2400"/>
        <w:gridCol w:w="6400"/>
      </w:tblGrid>
      <w:tr>
        <w:trPr>
          <w:tblHeader/>
        </w:trPr>
        <w:tc>
          <w:tcPr>
            <w:tcW w:type="dxa" w:w="2400"/>
            <w:shd w:fill="101A2B" w:val="clear"/>
            <w:tcMar>
              <w:top w:type="dxa" w:w="60"/>
              <w:left w:type="dxa" w:w="100"/>
              <w:bottom w:type="dxa" w:w="60"/>
              <w:right w:type="dxa" w:w="100"/>
            </w:tcMar>
          </w:tcPr>
          <w:p>
            <w:r>
              <w:rPr>
                <w:b/>
                <w:bCs/>
                <w:color w:val="FFFFFF"/>
                <w:sz w:val="19"/>
                <w:szCs w:val="19"/>
              </w:rPr>
              <w:t xml:space="preserve">Variable</w:t>
            </w:r>
          </w:p>
        </w:tc>
        <w:tc>
          <w:tcPr>
            <w:tcW w:type="dxa" w:w="6400"/>
            <w:shd w:fill="101A2B" w:val="clear"/>
            <w:tcMar>
              <w:top w:type="dxa" w:w="60"/>
              <w:left w:type="dxa" w:w="100"/>
              <w:bottom w:type="dxa" w:w="60"/>
              <w:right w:type="dxa" w:w="100"/>
            </w:tcMar>
          </w:tcPr>
          <w:p>
            <w:r>
              <w:rPr>
                <w:b/>
                <w:bCs/>
                <w:color w:val="FFFFFF"/>
                <w:sz w:val="19"/>
                <w:szCs w:val="19"/>
              </w:rPr>
              <w:t xml:space="preserve">What to enter</w:t>
            </w:r>
          </w:p>
        </w:tc>
      </w:tr>
      <w:tr>
        <w:tc>
          <w:tcPr>
            <w:tcW w:type="dxa" w:w="2400"/>
            <w:tcMar>
              <w:top w:type="dxa" w:w="50"/>
              <w:left w:type="dxa" w:w="100"/>
              <w:bottom w:type="dxa" w:w="50"/>
              <w:right w:type="dxa" w:w="100"/>
            </w:tcMar>
          </w:tcPr>
          <w:p>
            <w:r>
              <w:rPr>
                <w:sz w:val="19"/>
                <w:szCs w:val="19"/>
              </w:rPr>
              <w:t xml:space="preserve">DATABASE_URL</w:t>
            </w:r>
          </w:p>
        </w:tc>
        <w:tc>
          <w:tcPr>
            <w:tcW w:type="dxa" w:w="6400"/>
            <w:tcMar>
              <w:top w:type="dxa" w:w="50"/>
              <w:left w:type="dxa" w:w="100"/>
              <w:bottom w:type="dxa" w:w="50"/>
              <w:right w:type="dxa" w:w="100"/>
            </w:tcMar>
          </w:tcPr>
          <w:p>
            <w:r>
              <w:rPr>
                <w:sz w:val="19"/>
                <w:szCs w:val="19"/>
              </w:rPr>
              <w:t xml:space="preserve">Your Neon connection string from Step 1</w:t>
            </w:r>
          </w:p>
        </w:tc>
      </w:tr>
      <w:tr>
        <w:tc>
          <w:tcPr>
            <w:tcW w:type="dxa" w:w="2400"/>
            <w:tcMar>
              <w:top w:type="dxa" w:w="50"/>
              <w:left w:type="dxa" w:w="100"/>
              <w:bottom w:type="dxa" w:w="50"/>
              <w:right w:type="dxa" w:w="100"/>
            </w:tcMar>
          </w:tcPr>
          <w:p>
            <w:r>
              <w:rPr>
                <w:sz w:val="19"/>
                <w:szCs w:val="19"/>
              </w:rPr>
              <w:t xml:space="preserve">ADMIN_EMAIL</w:t>
            </w:r>
          </w:p>
        </w:tc>
        <w:tc>
          <w:tcPr>
            <w:tcW w:type="dxa" w:w="6400"/>
            <w:tcMar>
              <w:top w:type="dxa" w:w="50"/>
              <w:left w:type="dxa" w:w="100"/>
              <w:bottom w:type="dxa" w:w="50"/>
              <w:right w:type="dxa" w:w="100"/>
            </w:tcMar>
          </w:tcPr>
          <w:p>
            <w:r>
              <w:rPr>
                <w:sz w:val="19"/>
                <w:szCs w:val="19"/>
              </w:rPr>
              <w:t xml:space="preserve">The email for your first administrator login</w:t>
            </w:r>
          </w:p>
        </w:tc>
      </w:tr>
      <w:tr>
        <w:tc>
          <w:tcPr>
            <w:tcW w:type="dxa" w:w="2400"/>
            <w:tcMar>
              <w:top w:type="dxa" w:w="50"/>
              <w:left w:type="dxa" w:w="100"/>
              <w:bottom w:type="dxa" w:w="50"/>
              <w:right w:type="dxa" w:w="100"/>
            </w:tcMar>
          </w:tcPr>
          <w:p>
            <w:r>
              <w:rPr>
                <w:sz w:val="19"/>
                <w:szCs w:val="19"/>
              </w:rPr>
              <w:t xml:space="preserve">ADMIN_PASSWORD</w:t>
            </w:r>
          </w:p>
        </w:tc>
        <w:tc>
          <w:tcPr>
            <w:tcW w:type="dxa" w:w="6400"/>
            <w:tcMar>
              <w:top w:type="dxa" w:w="50"/>
              <w:left w:type="dxa" w:w="100"/>
              <w:bottom w:type="dxa" w:w="50"/>
              <w:right w:type="dxa" w:w="100"/>
            </w:tcMar>
          </w:tcPr>
          <w:p>
            <w:r>
              <w:rPr>
                <w:sz w:val="19"/>
                <w:szCs w:val="19"/>
              </w:rPr>
              <w:t xml:space="preserve">A strong password for that administrator</w:t>
            </w:r>
          </w:p>
        </w:tc>
      </w:tr>
      <w:tr>
        <w:tc>
          <w:tcPr>
            <w:tcW w:type="dxa" w:w="2400"/>
            <w:tcMar>
              <w:top w:type="dxa" w:w="50"/>
              <w:left w:type="dxa" w:w="100"/>
              <w:bottom w:type="dxa" w:w="50"/>
              <w:right w:type="dxa" w:w="100"/>
            </w:tcMar>
          </w:tcPr>
          <w:p>
            <w:r>
              <w:rPr>
                <w:sz w:val="19"/>
                <w:szCs w:val="19"/>
              </w:rPr>
              <w:t xml:space="preserve">SEED_DEMO</w:t>
            </w:r>
          </w:p>
        </w:tc>
        <w:tc>
          <w:tcPr>
            <w:tcW w:type="dxa" w:w="6400"/>
            <w:tcMar>
              <w:top w:type="dxa" w:w="50"/>
              <w:left w:type="dxa" w:w="100"/>
              <w:bottom w:type="dxa" w:w="50"/>
              <w:right w:type="dxa" w:w="100"/>
            </w:tcMar>
          </w:tcPr>
          <w:p>
            <w:r>
              <w:rPr>
                <w:sz w:val="19"/>
                <w:szCs w:val="19"/>
              </w:rPr>
              <w:t xml:space="preserve">true for the first deploy to load demo data, otherwise false</w:t>
            </w:r>
          </w:p>
        </w:tc>
      </w:tr>
      <w:tr>
        <w:tc>
          <w:tcPr>
            <w:tcW w:type="dxa" w:w="2400"/>
            <w:tcMar>
              <w:top w:type="dxa" w:w="50"/>
              <w:left w:type="dxa" w:w="100"/>
              <w:bottom w:type="dxa" w:w="50"/>
              <w:right w:type="dxa" w:w="100"/>
            </w:tcMar>
          </w:tcPr>
          <w:p>
            <w:r>
              <w:rPr>
                <w:sz w:val="19"/>
                <w:szCs w:val="19"/>
              </w:rPr>
              <w:t xml:space="preserve">SECRET_KEY</w:t>
            </w:r>
          </w:p>
        </w:tc>
        <w:tc>
          <w:tcPr>
            <w:tcW w:type="dxa" w:w="6400"/>
            <w:tcMar>
              <w:top w:type="dxa" w:w="50"/>
              <w:left w:type="dxa" w:w="100"/>
              <w:bottom w:type="dxa" w:w="50"/>
              <w:right w:type="dxa" w:w="100"/>
            </w:tcMar>
          </w:tcPr>
          <w:p>
            <w:r>
              <w:rPr>
                <w:sz w:val="19"/>
                <w:szCs w:val="19"/>
              </w:rPr>
              <w:t xml:space="preserve">Generated automatically by Render — leave as is</w:t>
            </w:r>
          </w:p>
        </w:tc>
      </w:tr>
    </w:tbl>
    <w:p>
      <w:pPr>
        <w:spacing w:after="120"/>
      </w:pPr>
    </w:p>
    <w:p>
      <w:pPr>
        <w:spacing w:after="120"/>
      </w:pPr>
      <w:r>
        <w:rPr>
          <w:b/>
          <w:bCs/>
          <w:sz w:val="21"/>
          <w:szCs w:val="21"/>
        </w:rPr>
        <w:t xml:space="preserve">Step 4 — First boot. </w:t>
      </w:r>
      <w:r>
        <w:rPr>
          <w:sz w:val="21"/>
          <w:szCs w:val="21"/>
        </w:rPr>
        <w:t xml:space="preserve">Render builds and starts the app. On first start the database tables are created automatically and your administrator account is made from the variables above. Open the Render URL and sign in.</w:t>
      </w:r>
    </w:p>
    <w:p>
      <w:pPr>
        <w:spacing w:after="120"/>
      </w:pPr>
      <w:r>
        <w:rPr>
          <w:b/>
          <w:bCs/>
          <w:sz w:val="21"/>
          <w:szCs w:val="21"/>
        </w:rPr>
        <w:t xml:space="preserve">Step 5 — Clean start &amp; domain. </w:t>
      </w:r>
      <w:r>
        <w:rPr>
          <w:sz w:val="21"/>
          <w:szCs w:val="21"/>
        </w:rPr>
        <w:t xml:space="preserve">If you loaded demo data, set SEED_DEMO back to false and redeploy for a clean database. Add your own web address under the service's Settings → Custom Domains.</w:t>
      </w:r>
    </w:p>
    <w:p>
      <w:pPr>
        <w:pStyle w:val="Heading2"/>
        <w:spacing w:after="90" w:before="220"/>
      </w:pPr>
      <w:r>
        <w:rPr>
          <w:b/>
          <w:bCs/>
          <w:color w:val="B8892E"/>
        </w:rPr>
        <w:t xml:space="preserve">2.4 Load your data (recommended order)</w:t>
      </w:r>
    </w:p>
    <w:p>
      <w:pPr>
        <w:pStyle w:val="ListParagraph"/>
        <w:numPr>
          <w:ilvl w:val="0"/>
          <w:numId w:val="3"/>
        </w:numPr>
        <w:spacing w:after="80"/>
      </w:pPr>
      <w:r>
        <w:rPr>
          <w:sz w:val="21"/>
          <w:szCs w:val="21"/>
        </w:rPr>
        <w:t xml:space="preserve">Settings — company details, paying bank, statutory rates, leave policy and the scheme-of-delegation bands.</w:t>
      </w:r>
    </w:p>
    <w:p>
      <w:pPr>
        <w:pStyle w:val="ListParagraph"/>
        <w:numPr>
          <w:ilvl w:val="0"/>
          <w:numId w:val="3"/>
        </w:numPr>
        <w:spacing w:after="80"/>
      </w:pPr>
      <w:r>
        <w:rPr>
          <w:sz w:val="21"/>
          <w:szCs w:val="21"/>
        </w:rPr>
        <w:t xml:space="preserve">Users — create your HR, Finance Manager and Managing Director accounts with the right roles.</w:t>
      </w:r>
    </w:p>
    <w:p>
      <w:pPr>
        <w:pStyle w:val="ListParagraph"/>
        <w:numPr>
          <w:ilvl w:val="0"/>
          <w:numId w:val="3"/>
        </w:numPr>
        <w:spacing w:after="80"/>
      </w:pPr>
      <w:r>
        <w:rPr>
          <w:sz w:val="21"/>
          <w:szCs w:val="21"/>
        </w:rPr>
        <w:t xml:space="preserve">Departments, then Grades &amp; spine points.</w:t>
      </w:r>
    </w:p>
    <w:p>
      <w:pPr>
        <w:pStyle w:val="ListParagraph"/>
        <w:numPr>
          <w:ilvl w:val="0"/>
          <w:numId w:val="3"/>
        </w:numPr>
        <w:spacing w:after="80"/>
      </w:pPr>
      <w:r>
        <w:rPr>
          <w:sz w:val="21"/>
          <w:szCs w:val="21"/>
        </w:rPr>
        <w:t xml:space="preserve">Employees — with department, grade, spine point, salary, bank details and start date.</w:t>
      </w:r>
    </w:p>
    <w:p>
      <w:pPr>
        <w:pStyle w:val="ListParagraph"/>
        <w:numPr>
          <w:ilvl w:val="0"/>
          <w:numId w:val="3"/>
        </w:numPr>
        <w:spacing w:after="80"/>
      </w:pPr>
      <w:r>
        <w:rPr>
          <w:sz w:val="21"/>
          <w:szCs w:val="21"/>
        </w:rPr>
        <w:t xml:space="preserve">Attendance — import the first month from your fingerprint system.</w:t>
      </w:r>
    </w:p>
    <w:p>
      <w:pPr>
        <w:pStyle w:val="Heading2"/>
        <w:spacing w:after="90" w:before="220"/>
      </w:pPr>
      <w:r>
        <w:rPr>
          <w:b/>
          <w:bCs/>
          <w:color w:val="B8892E"/>
        </w:rPr>
        <w:t xml:space="preserve">2.5 Going-live checklist</w:t>
      </w:r>
    </w:p>
    <w:p>
      <w:pPr>
        <w:pStyle w:val="ListParagraph"/>
        <w:numPr>
          <w:ilvl w:val="0"/>
          <w:numId w:val="2"/>
        </w:numPr>
        <w:spacing w:after="70"/>
      </w:pPr>
      <w:r>
        <w:rPr>
          <w:sz w:val="21"/>
          <w:szCs w:val="21"/>
        </w:rPr>
        <w:t xml:space="preserve">Administrator password changed from the default.</w:t>
      </w:r>
    </w:p>
    <w:p>
      <w:pPr>
        <w:pStyle w:val="ListParagraph"/>
        <w:numPr>
          <w:ilvl w:val="0"/>
          <w:numId w:val="2"/>
        </w:numPr>
        <w:spacing w:after="70"/>
      </w:pPr>
      <w:r>
        <w:rPr>
          <w:sz w:val="21"/>
          <w:szCs w:val="21"/>
        </w:rPr>
        <w:t xml:space="preserve">Statutory rates confirmed for the current year (see Appendix A).</w:t>
      </w:r>
    </w:p>
    <w:p>
      <w:pPr>
        <w:pStyle w:val="ListParagraph"/>
        <w:numPr>
          <w:ilvl w:val="0"/>
          <w:numId w:val="2"/>
        </w:numPr>
        <w:spacing w:after="70"/>
      </w:pPr>
      <w:r>
        <w:rPr>
          <w:sz w:val="21"/>
          <w:szCs w:val="21"/>
        </w:rPr>
        <w:t xml:space="preserve">Paying-bank details entered for the payment schedule.</w:t>
      </w:r>
    </w:p>
    <w:p>
      <w:pPr>
        <w:pStyle w:val="ListParagraph"/>
        <w:numPr>
          <w:ilvl w:val="0"/>
          <w:numId w:val="2"/>
        </w:numPr>
        <w:spacing w:after="70"/>
      </w:pPr>
      <w:r>
        <w:rPr>
          <w:sz w:val="21"/>
          <w:szCs w:val="21"/>
        </w:rPr>
        <w:t xml:space="preserve">Scheme-of-delegation bands set to your authority limits.</w:t>
      </w:r>
    </w:p>
    <w:p>
      <w:pPr>
        <w:pStyle w:val="ListParagraph"/>
        <w:numPr>
          <w:ilvl w:val="0"/>
          <w:numId w:val="2"/>
        </w:numPr>
        <w:spacing w:after="70"/>
      </w:pPr>
      <w:r>
        <w:rPr>
          <w:sz w:val="21"/>
          <w:szCs w:val="21"/>
        </w:rPr>
        <w:t xml:space="preserve">Real users created and demo logins removed.</w:t>
      </w:r>
    </w:p>
    <w:p>
      <w:pPr>
        <w:pStyle w:val="ListParagraph"/>
        <w:numPr>
          <w:ilvl w:val="0"/>
          <w:numId w:val="2"/>
        </w:numPr>
        <w:spacing w:after="70"/>
      </w:pPr>
      <w:r>
        <w:rPr>
          <w:sz w:val="21"/>
          <w:szCs w:val="21"/>
        </w:rPr>
        <w:t xml:space="preserve">SEED_DEMO set to false.</w:t>
      </w:r>
    </w:p>
    <w:p>
      <w:pPr>
        <w:pStyle w:val="Heading2"/>
        <w:spacing w:after="90" w:before="220"/>
      </w:pPr>
      <w:r>
        <w:rPr>
          <w:b/>
          <w:bCs/>
          <w:color w:val="B8892E"/>
        </w:rPr>
        <w:t xml:space="preserve">2.6 Yearly and periodic maintenance</w:t>
      </w:r>
    </w:p>
    <w:p>
      <w:pPr>
        <w:spacing w:after="120"/>
      </w:pPr>
      <w:r>
        <w:rPr>
          <w:sz w:val="21"/>
          <w:szCs w:val="21"/>
        </w:rPr>
        <w:t xml:space="preserve">Every January the social-insurance floor and ceiling rise by 15%. Update them in Settings. Whenever tax or insurance rules change, adjust the relevant figures in Settings — no software change is needed. All key parameters are editable at any time.</w:t>
      </w:r>
    </w:p>
    <w:p>
      <w:r>
        <w:br w:type="page"/>
      </w:r>
    </w:p>
    <w:p>
      <w:pPr>
        <w:pStyle w:val="Heading1"/>
        <w:spacing w:after="140" w:before="320"/>
      </w:pPr>
      <w:r>
        <w:rPr>
          <w:b/>
          <w:bCs/>
          <w:color w:val="101A2B"/>
        </w:rPr>
        <w:t xml:space="preserve">3. User Manual</w:t>
      </w:r>
    </w:p>
    <w:p>
      <w:pPr>
        <w:pStyle w:val="Heading2"/>
        <w:spacing w:after="90" w:before="220"/>
      </w:pPr>
      <w:r>
        <w:rPr>
          <w:b/>
          <w:bCs/>
          <w:color w:val="B8892E"/>
        </w:rPr>
        <w:t xml:space="preserve">3.1 Signing in and language</w:t>
      </w:r>
    </w:p>
    <w:p>
      <w:pPr>
        <w:spacing w:after="120"/>
      </w:pPr>
      <w:r>
        <w:rPr>
          <w:sz w:val="21"/>
          <w:szCs w:val="21"/>
        </w:rPr>
        <w:t xml:space="preserve">Sign in with your email and password. Use the toggle at the top right to switch between English and Arabic at any time; Arabic flips the whole screen right-to-left.</w:t>
      </w:r>
    </w:p>
    <w:p>
      <w:pPr>
        <w:pStyle w:val="Heading2"/>
        <w:spacing w:after="90" w:before="220"/>
      </w:pPr>
      <w:r>
        <w:rPr>
          <w:b/>
          <w:bCs/>
          <w:color w:val="B8892E"/>
        </w:rPr>
        <w:t xml:space="preserve">3.2 Roles and the scheme of delegation</w:t>
      </w:r>
    </w:p>
    <w:p>
      <w:pPr>
        <w:spacing w:after="120"/>
      </w:pPr>
      <w:r>
        <w:rPr>
          <w:sz w:val="21"/>
          <w:szCs w:val="21"/>
        </w:rPr>
        <w:t xml:space="preserve">Access follows a scheme of delegation with segregation of duties — the person who prepares a payroll run cannot approve it.</w:t>
      </w: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2600"/>
        <w:gridCol w:w="6200"/>
      </w:tblGrid>
      <w:tr>
        <w:trPr>
          <w:tblHeader/>
        </w:trPr>
        <w:tc>
          <w:tcPr>
            <w:tcW w:type="dxa" w:w="2600"/>
            <w:shd w:fill="101A2B" w:val="clear"/>
            <w:tcMar>
              <w:top w:type="dxa" w:w="60"/>
              <w:left w:type="dxa" w:w="100"/>
              <w:bottom w:type="dxa" w:w="60"/>
              <w:right w:type="dxa" w:w="100"/>
            </w:tcMar>
          </w:tcPr>
          <w:p>
            <w:r>
              <w:rPr>
                <w:b/>
                <w:bCs/>
                <w:color w:val="FFFFFF"/>
                <w:sz w:val="19"/>
                <w:szCs w:val="19"/>
              </w:rPr>
              <w:t xml:space="preserve">Role</w:t>
            </w:r>
          </w:p>
        </w:tc>
        <w:tc>
          <w:tcPr>
            <w:tcW w:type="dxa" w:w="6200"/>
            <w:shd w:fill="101A2B" w:val="clear"/>
            <w:tcMar>
              <w:top w:type="dxa" w:w="60"/>
              <w:left w:type="dxa" w:w="100"/>
              <w:bottom w:type="dxa" w:w="60"/>
              <w:right w:type="dxa" w:w="100"/>
            </w:tcMar>
          </w:tcPr>
          <w:p>
            <w:r>
              <w:rPr>
                <w:b/>
                <w:bCs/>
                <w:color w:val="FFFFFF"/>
                <w:sz w:val="19"/>
                <w:szCs w:val="19"/>
              </w:rPr>
              <w:t xml:space="preserve">Can do</w:t>
            </w:r>
          </w:p>
        </w:tc>
      </w:tr>
      <w:tr>
        <w:tc>
          <w:tcPr>
            <w:tcW w:type="dxa" w:w="2600"/>
            <w:tcMar>
              <w:top w:type="dxa" w:w="50"/>
              <w:left w:type="dxa" w:w="100"/>
              <w:bottom w:type="dxa" w:w="50"/>
              <w:right w:type="dxa" w:w="100"/>
            </w:tcMar>
          </w:tcPr>
          <w:p>
            <w:r>
              <w:rPr>
                <w:sz w:val="19"/>
                <w:szCs w:val="19"/>
              </w:rPr>
              <w:t xml:space="preserve">Administrator</w:t>
            </w:r>
          </w:p>
        </w:tc>
        <w:tc>
          <w:tcPr>
            <w:tcW w:type="dxa" w:w="6200"/>
            <w:tcMar>
              <w:top w:type="dxa" w:w="50"/>
              <w:left w:type="dxa" w:w="100"/>
              <w:bottom w:type="dxa" w:w="50"/>
              <w:right w:type="dxa" w:w="100"/>
            </w:tcMar>
          </w:tcPr>
          <w:p>
            <w:r>
              <w:rPr>
                <w:sz w:val="19"/>
                <w:szCs w:val="19"/>
              </w:rPr>
              <w:t xml:space="preserve">Everything, plus users and settings</w:t>
            </w:r>
          </w:p>
        </w:tc>
      </w:tr>
      <w:tr>
        <w:tc>
          <w:tcPr>
            <w:tcW w:type="dxa" w:w="2600"/>
            <w:tcMar>
              <w:top w:type="dxa" w:w="50"/>
              <w:left w:type="dxa" w:w="100"/>
              <w:bottom w:type="dxa" w:w="50"/>
              <w:right w:type="dxa" w:w="100"/>
            </w:tcMar>
          </w:tcPr>
          <w:p>
            <w:r>
              <w:rPr>
                <w:sz w:val="19"/>
                <w:szCs w:val="19"/>
              </w:rPr>
              <w:t xml:space="preserve">HR</w:t>
            </w:r>
          </w:p>
        </w:tc>
        <w:tc>
          <w:tcPr>
            <w:tcW w:type="dxa" w:w="6200"/>
            <w:tcMar>
              <w:top w:type="dxa" w:w="50"/>
              <w:left w:type="dxa" w:w="100"/>
              <w:bottom w:type="dxa" w:w="50"/>
              <w:right w:type="dxa" w:w="100"/>
            </w:tcMar>
          </w:tcPr>
          <w:p>
            <w:r>
              <w:rPr>
                <w:sz w:val="19"/>
                <w:szCs w:val="19"/>
              </w:rPr>
              <w:t xml:space="preserve">Prepare payroll; manage people, attendance, leave, loans</w:t>
            </w:r>
          </w:p>
        </w:tc>
      </w:tr>
      <w:tr>
        <w:tc>
          <w:tcPr>
            <w:tcW w:type="dxa" w:w="2600"/>
            <w:tcMar>
              <w:top w:type="dxa" w:w="50"/>
              <w:left w:type="dxa" w:w="100"/>
              <w:bottom w:type="dxa" w:w="50"/>
              <w:right w:type="dxa" w:w="100"/>
            </w:tcMar>
          </w:tcPr>
          <w:p>
            <w:r>
              <w:rPr>
                <w:sz w:val="19"/>
                <w:szCs w:val="19"/>
              </w:rPr>
              <w:t xml:space="preserve">Finance Manager</w:t>
            </w:r>
          </w:p>
        </w:tc>
        <w:tc>
          <w:tcPr>
            <w:tcW w:type="dxa" w:w="6200"/>
            <w:tcMar>
              <w:top w:type="dxa" w:w="50"/>
              <w:left w:type="dxa" w:w="100"/>
              <w:bottom w:type="dxa" w:w="50"/>
              <w:right w:type="dxa" w:w="100"/>
            </w:tcMar>
          </w:tcPr>
          <w:p>
            <w:r>
              <w:rPr>
                <w:sz w:val="19"/>
                <w:szCs w:val="19"/>
              </w:rPr>
              <w:t xml:space="preserve">Approve payroll, view all finance data, print schedules, mark paid, view audit log</w:t>
            </w:r>
          </w:p>
        </w:tc>
      </w:tr>
      <w:tr>
        <w:tc>
          <w:tcPr>
            <w:tcW w:type="dxa" w:w="2600"/>
            <w:tcMar>
              <w:top w:type="dxa" w:w="50"/>
              <w:left w:type="dxa" w:w="100"/>
              <w:bottom w:type="dxa" w:w="50"/>
              <w:right w:type="dxa" w:w="100"/>
            </w:tcMar>
          </w:tcPr>
          <w:p>
            <w:r>
              <w:rPr>
                <w:sz w:val="19"/>
                <w:szCs w:val="19"/>
              </w:rPr>
              <w:t xml:space="preserve">Managing Director</w:t>
            </w:r>
          </w:p>
        </w:tc>
        <w:tc>
          <w:tcPr>
            <w:tcW w:type="dxa" w:w="6200"/>
            <w:tcMar>
              <w:top w:type="dxa" w:w="50"/>
              <w:left w:type="dxa" w:w="100"/>
              <w:bottom w:type="dxa" w:w="50"/>
              <w:right w:type="dxa" w:w="100"/>
            </w:tcMar>
          </w:tcPr>
          <w:p>
            <w:r>
              <w:rPr>
                <w:sz w:val="19"/>
                <w:szCs w:val="19"/>
              </w:rPr>
              <w:t xml:space="preserve">Joint authorisation (final release) of payroll</w:t>
            </w:r>
          </w:p>
        </w:tc>
      </w:tr>
      <w:tr>
        <w:tc>
          <w:tcPr>
            <w:tcW w:type="dxa" w:w="2600"/>
            <w:tcMar>
              <w:top w:type="dxa" w:w="50"/>
              <w:left w:type="dxa" w:w="100"/>
              <w:bottom w:type="dxa" w:w="50"/>
              <w:right w:type="dxa" w:w="100"/>
            </w:tcMar>
          </w:tcPr>
          <w:p>
            <w:r>
              <w:rPr>
                <w:sz w:val="19"/>
                <w:szCs w:val="19"/>
              </w:rPr>
              <w:t xml:space="preserve">Viewer</w:t>
            </w:r>
          </w:p>
        </w:tc>
        <w:tc>
          <w:tcPr>
            <w:tcW w:type="dxa" w:w="6200"/>
            <w:tcMar>
              <w:top w:type="dxa" w:w="50"/>
              <w:left w:type="dxa" w:w="100"/>
              <w:bottom w:type="dxa" w:w="50"/>
              <w:right w:type="dxa" w:w="100"/>
            </w:tcMar>
          </w:tcPr>
          <w:p>
            <w:r>
              <w:rPr>
                <w:sz w:val="19"/>
                <w:szCs w:val="19"/>
              </w:rPr>
              <w:t xml:space="preserve">Read-only</w:t>
            </w:r>
          </w:p>
        </w:tc>
      </w:tr>
    </w:tbl>
    <w:p>
      <w:pPr>
        <w:pStyle w:val="Heading2"/>
        <w:spacing w:after="90" w:before="220"/>
      </w:pPr>
      <w:r>
        <w:rPr>
          <w:b/>
          <w:bCs/>
          <w:color w:val="B8892E"/>
        </w:rPr>
        <w:t xml:space="preserve">3.3 Settings</w:t>
      </w:r>
    </w:p>
    <w:p>
      <w:pPr>
        <w:spacing w:after="120"/>
      </w:pPr>
      <w:r>
        <w:rPr>
          <w:sz w:val="21"/>
          <w:szCs w:val="21"/>
        </w:rPr>
        <w:t xml:space="preserve">The Administrator sets everything here, and can change it whenever the law changes:</w:t>
      </w: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2600"/>
        <w:gridCol w:w="6200"/>
      </w:tblGrid>
      <w:tr>
        <w:trPr>
          <w:tblHeader/>
        </w:trPr>
        <w:tc>
          <w:tcPr>
            <w:tcW w:type="dxa" w:w="2600"/>
            <w:shd w:fill="101A2B" w:val="clear"/>
            <w:tcMar>
              <w:top w:type="dxa" w:w="60"/>
              <w:left w:type="dxa" w:w="100"/>
              <w:bottom w:type="dxa" w:w="60"/>
              <w:right w:type="dxa" w:w="100"/>
            </w:tcMar>
          </w:tcPr>
          <w:p>
            <w:r>
              <w:rPr>
                <w:b/>
                <w:bCs/>
                <w:color w:val="FFFFFF"/>
                <w:sz w:val="19"/>
                <w:szCs w:val="19"/>
              </w:rPr>
              <w:t xml:space="preserve">Group</w:t>
            </w:r>
          </w:p>
        </w:tc>
        <w:tc>
          <w:tcPr>
            <w:tcW w:type="dxa" w:w="6200"/>
            <w:shd w:fill="101A2B" w:val="clear"/>
            <w:tcMar>
              <w:top w:type="dxa" w:w="60"/>
              <w:left w:type="dxa" w:w="100"/>
              <w:bottom w:type="dxa" w:w="60"/>
              <w:right w:type="dxa" w:w="100"/>
            </w:tcMar>
          </w:tcPr>
          <w:p>
            <w:r>
              <w:rPr>
                <w:b/>
                <w:bCs/>
                <w:color w:val="FFFFFF"/>
                <w:sz w:val="19"/>
                <w:szCs w:val="19"/>
              </w:rPr>
              <w:t xml:space="preserve">Items</w:t>
            </w:r>
          </w:p>
        </w:tc>
      </w:tr>
      <w:tr>
        <w:tc>
          <w:tcPr>
            <w:tcW w:type="dxa" w:w="2600"/>
            <w:tcMar>
              <w:top w:type="dxa" w:w="50"/>
              <w:left w:type="dxa" w:w="100"/>
              <w:bottom w:type="dxa" w:w="50"/>
              <w:right w:type="dxa" w:w="100"/>
            </w:tcMar>
          </w:tcPr>
          <w:p>
            <w:r>
              <w:rPr>
                <w:sz w:val="19"/>
                <w:szCs w:val="19"/>
              </w:rPr>
              <w:t xml:space="preserve">Company</w:t>
            </w:r>
          </w:p>
        </w:tc>
        <w:tc>
          <w:tcPr>
            <w:tcW w:type="dxa" w:w="6200"/>
            <w:tcMar>
              <w:top w:type="dxa" w:w="50"/>
              <w:left w:type="dxa" w:w="100"/>
              <w:bottom w:type="dxa" w:w="50"/>
              <w:right w:type="dxa" w:w="100"/>
            </w:tcMar>
          </w:tcPr>
          <w:p>
            <w:r>
              <w:rPr>
                <w:sz w:val="19"/>
                <w:szCs w:val="19"/>
              </w:rPr>
              <w:t xml:space="preserve">Name (EN/AR), address, tax ID, insurance registration no., currency, paying bank</w:t>
            </w:r>
          </w:p>
        </w:tc>
      </w:tr>
      <w:tr>
        <w:tc>
          <w:tcPr>
            <w:tcW w:type="dxa" w:w="2600"/>
            <w:tcMar>
              <w:top w:type="dxa" w:w="50"/>
              <w:left w:type="dxa" w:w="100"/>
              <w:bottom w:type="dxa" w:w="50"/>
              <w:right w:type="dxa" w:w="100"/>
            </w:tcMar>
          </w:tcPr>
          <w:p>
            <w:r>
              <w:rPr>
                <w:sz w:val="19"/>
                <w:szCs w:val="19"/>
              </w:rPr>
              <w:t xml:space="preserve">Working time</w:t>
            </w:r>
          </w:p>
        </w:tc>
        <w:tc>
          <w:tcPr>
            <w:tcW w:type="dxa" w:w="6200"/>
            <w:tcMar>
              <w:top w:type="dxa" w:w="50"/>
              <w:left w:type="dxa" w:w="100"/>
              <w:bottom w:type="dxa" w:w="50"/>
              <w:right w:type="dxa" w:w="100"/>
            </w:tcMar>
          </w:tcPr>
          <w:p>
            <w:r>
              <w:rPr>
                <w:sz w:val="19"/>
                <w:szCs w:val="19"/>
              </w:rPr>
              <w:t xml:space="preserve">Standard daily/weekly hours, days per month, overtime day/night %</w:t>
            </w:r>
          </w:p>
        </w:tc>
      </w:tr>
      <w:tr>
        <w:tc>
          <w:tcPr>
            <w:tcW w:type="dxa" w:w="2600"/>
            <w:tcMar>
              <w:top w:type="dxa" w:w="50"/>
              <w:left w:type="dxa" w:w="100"/>
              <w:bottom w:type="dxa" w:w="50"/>
              <w:right w:type="dxa" w:w="100"/>
            </w:tcMar>
          </w:tcPr>
          <w:p>
            <w:r>
              <w:rPr>
                <w:sz w:val="19"/>
                <w:szCs w:val="19"/>
              </w:rPr>
              <w:t xml:space="preserve">Social insurance</w:t>
            </w:r>
          </w:p>
        </w:tc>
        <w:tc>
          <w:tcPr>
            <w:tcW w:type="dxa" w:w="6200"/>
            <w:tcMar>
              <w:top w:type="dxa" w:w="50"/>
              <w:left w:type="dxa" w:w="100"/>
              <w:bottom w:type="dxa" w:w="50"/>
              <w:right w:type="dxa" w:w="100"/>
            </w:tcMar>
          </w:tcPr>
          <w:p>
            <w:r>
              <w:rPr>
                <w:sz w:val="19"/>
                <w:szCs w:val="19"/>
              </w:rPr>
              <w:t xml:space="preserve">Employee %, employer %, emergency fund %, insurable floor, insurable ceiling</w:t>
            </w:r>
          </w:p>
        </w:tc>
      </w:tr>
      <w:tr>
        <w:tc>
          <w:tcPr>
            <w:tcW w:type="dxa" w:w="2600"/>
            <w:tcMar>
              <w:top w:type="dxa" w:w="50"/>
              <w:left w:type="dxa" w:w="100"/>
              <w:bottom w:type="dxa" w:w="50"/>
              <w:right w:type="dxa" w:w="100"/>
            </w:tcMar>
          </w:tcPr>
          <w:p>
            <w:r>
              <w:rPr>
                <w:sz w:val="19"/>
                <w:szCs w:val="19"/>
              </w:rPr>
              <w:t xml:space="preserve">Income tax</w:t>
            </w:r>
          </w:p>
        </w:tc>
        <w:tc>
          <w:tcPr>
            <w:tcW w:type="dxa" w:w="6200"/>
            <w:tcMar>
              <w:top w:type="dxa" w:w="50"/>
              <w:left w:type="dxa" w:w="100"/>
              <w:bottom w:type="dxa" w:w="50"/>
              <w:right w:type="dxa" w:w="100"/>
            </w:tcMar>
          </w:tcPr>
          <w:p>
            <w:r>
              <w:rPr>
                <w:sz w:val="19"/>
                <w:szCs w:val="19"/>
              </w:rPr>
              <w:t xml:space="preserve">Annual personal exemption</w:t>
            </w:r>
          </w:p>
        </w:tc>
      </w:tr>
      <w:tr>
        <w:tc>
          <w:tcPr>
            <w:tcW w:type="dxa" w:w="2600"/>
            <w:tcMar>
              <w:top w:type="dxa" w:w="50"/>
              <w:left w:type="dxa" w:w="100"/>
              <w:bottom w:type="dxa" w:w="50"/>
              <w:right w:type="dxa" w:w="100"/>
            </w:tcMar>
          </w:tcPr>
          <w:p>
            <w:r>
              <w:rPr>
                <w:sz w:val="19"/>
                <w:szCs w:val="19"/>
              </w:rPr>
              <w:t xml:space="preserve">Leave policy</w:t>
            </w:r>
          </w:p>
        </w:tc>
        <w:tc>
          <w:tcPr>
            <w:tcW w:type="dxa" w:w="6200"/>
            <w:tcMar>
              <w:top w:type="dxa" w:w="50"/>
              <w:left w:type="dxa" w:w="100"/>
              <w:bottom w:type="dxa" w:w="50"/>
              <w:right w:type="dxa" w:w="100"/>
            </w:tcMar>
          </w:tcPr>
          <w:p>
            <w:r>
              <w:rPr>
                <w:sz w:val="19"/>
                <w:szCs w:val="19"/>
              </w:rPr>
              <w:t xml:space="preserve">Annual (year 1 / standard / senior), casual, probation months</w:t>
            </w:r>
          </w:p>
        </w:tc>
      </w:tr>
      <w:tr>
        <w:tc>
          <w:tcPr>
            <w:tcW w:type="dxa" w:w="2600"/>
            <w:tcMar>
              <w:top w:type="dxa" w:w="50"/>
              <w:left w:type="dxa" w:w="100"/>
              <w:bottom w:type="dxa" w:w="50"/>
              <w:right w:type="dxa" w:w="100"/>
            </w:tcMar>
          </w:tcPr>
          <w:p>
            <w:r>
              <w:rPr>
                <w:sz w:val="19"/>
                <w:szCs w:val="19"/>
              </w:rPr>
              <w:t xml:space="preserve">Scheme of delegation</w:t>
            </w:r>
          </w:p>
        </w:tc>
        <w:tc>
          <w:tcPr>
            <w:tcW w:type="dxa" w:w="6200"/>
            <w:tcMar>
              <w:top w:type="dxa" w:w="50"/>
              <w:left w:type="dxa" w:w="100"/>
              <w:bottom w:type="dxa" w:w="50"/>
              <w:right w:type="dxa" w:w="100"/>
            </w:tcMar>
          </w:tcPr>
          <w:p>
            <w:r>
              <w:rPr>
                <w:sz w:val="19"/>
                <w:szCs w:val="19"/>
              </w:rPr>
              <w:t xml:space="preserve">Net-total bands and, per band, whether FM approval alone or joint MD release is required</w:t>
            </w:r>
          </w:p>
        </w:tc>
      </w:tr>
    </w:tbl>
    <w:p>
      <w:pPr>
        <w:pStyle w:val="Heading2"/>
        <w:spacing w:after="90" w:before="220"/>
      </w:pPr>
      <w:r>
        <w:rPr>
          <w:b/>
          <w:bCs/>
          <w:color w:val="B8892E"/>
        </w:rPr>
        <w:t xml:space="preserve">3.4 Departments, grades and spine points</w:t>
      </w:r>
    </w:p>
    <w:p>
      <w:pPr>
        <w:spacing w:after="120"/>
      </w:pPr>
      <w:r>
        <w:rPr>
          <w:sz w:val="21"/>
          <w:szCs w:val="21"/>
        </w:rPr>
        <w:t xml:space="preserve">Create departments, then grades. Each grade holds spine points, and each point carries a monthly salary. An employee sits on a point; the points above show their room to grow, with the pay difference to each.</w:t>
      </w:r>
    </w:p>
    <w:p>
      <w:pPr>
        <w:pStyle w:val="Heading2"/>
        <w:spacing w:after="90" w:before="220"/>
      </w:pPr>
      <w:r>
        <w:rPr>
          <w:b/>
          <w:bCs/>
          <w:color w:val="B8892E"/>
        </w:rPr>
        <w:t xml:space="preserve">3.5 Employees and contracts</w:t>
      </w:r>
    </w:p>
    <w:p>
      <w:pPr>
        <w:spacing w:after="120"/>
      </w:pPr>
      <w:r>
        <w:rPr>
          <w:sz w:val="21"/>
          <w:szCs w:val="21"/>
        </w:rPr>
        <w:t xml:space="preserve">Add each employee with personal details, department, grade and spine point, contract type, start date, salary and allowances, bank details and medical plan. Set the employee code to the worker's fingerprint ID so attendance imports match. Each record prints an Arabic employment contract populated from their details.</w:t>
      </w:r>
    </w:p>
    <w:p>
      <w:pPr>
        <w:pStyle w:val="Heading2"/>
        <w:spacing w:after="90" w:before="220"/>
      </w:pPr>
      <w:r>
        <w:rPr>
          <w:b/>
          <w:bCs/>
          <w:color w:val="B8892E"/>
        </w:rPr>
        <w:t xml:space="preserve">3.6 Attendance</w:t>
      </w:r>
    </w:p>
    <w:p>
      <w:pPr>
        <w:spacing w:after="120"/>
      </w:pPr>
      <w:r>
        <w:rPr>
          <w:sz w:val="21"/>
          <w:szCs w:val="21"/>
        </w:rPr>
        <w:t xml:space="preserve">Attendance comes from your fingerprint system as a CSV. On the Attendance page, download the template, fill it and upload. Overtime and shortfall are calculated per day against the standard hours.</w:t>
      </w: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2600"/>
        <w:gridCol w:w="6200"/>
      </w:tblGrid>
      <w:tr>
        <w:trPr>
          <w:tblHeader/>
        </w:trPr>
        <w:tc>
          <w:tcPr>
            <w:tcW w:type="dxa" w:w="2600"/>
            <w:shd w:fill="101A2B" w:val="clear"/>
            <w:tcMar>
              <w:top w:type="dxa" w:w="60"/>
              <w:left w:type="dxa" w:w="100"/>
              <w:bottom w:type="dxa" w:w="60"/>
              <w:right w:type="dxa" w:w="100"/>
            </w:tcMar>
          </w:tcPr>
          <w:p>
            <w:r>
              <w:rPr>
                <w:b/>
                <w:bCs/>
                <w:color w:val="FFFFFF"/>
                <w:sz w:val="19"/>
                <w:szCs w:val="19"/>
              </w:rPr>
              <w:t xml:space="preserve">Column</w:t>
            </w:r>
          </w:p>
        </w:tc>
        <w:tc>
          <w:tcPr>
            <w:tcW w:type="dxa" w:w="6200"/>
            <w:shd w:fill="101A2B" w:val="clear"/>
            <w:tcMar>
              <w:top w:type="dxa" w:w="60"/>
              <w:left w:type="dxa" w:w="100"/>
              <w:bottom w:type="dxa" w:w="60"/>
              <w:right w:type="dxa" w:w="100"/>
            </w:tcMar>
          </w:tcPr>
          <w:p>
            <w:r>
              <w:rPr>
                <w:b/>
                <w:bCs/>
                <w:color w:val="FFFFFF"/>
                <w:sz w:val="19"/>
                <w:szCs w:val="19"/>
              </w:rPr>
              <w:t xml:space="preserve">Meaning</w:t>
            </w:r>
          </w:p>
        </w:tc>
      </w:tr>
      <w:tr>
        <w:tc>
          <w:tcPr>
            <w:tcW w:type="dxa" w:w="2600"/>
            <w:tcMar>
              <w:top w:type="dxa" w:w="50"/>
              <w:left w:type="dxa" w:w="100"/>
              <w:bottom w:type="dxa" w:w="50"/>
              <w:right w:type="dxa" w:w="100"/>
            </w:tcMar>
          </w:tcPr>
          <w:p>
            <w:r>
              <w:rPr>
                <w:sz w:val="19"/>
                <w:szCs w:val="19"/>
              </w:rPr>
              <w:t xml:space="preserve">employee_code</w:t>
            </w:r>
          </w:p>
        </w:tc>
        <w:tc>
          <w:tcPr>
            <w:tcW w:type="dxa" w:w="6200"/>
            <w:tcMar>
              <w:top w:type="dxa" w:w="50"/>
              <w:left w:type="dxa" w:w="100"/>
              <w:bottom w:type="dxa" w:w="50"/>
              <w:right w:type="dxa" w:w="100"/>
            </w:tcMar>
          </w:tcPr>
          <w:p>
            <w:r>
              <w:rPr>
                <w:sz w:val="19"/>
                <w:szCs w:val="19"/>
              </w:rPr>
              <w:t xml:space="preserve">Must match the employee's code / fingerprint ID</w:t>
            </w:r>
          </w:p>
        </w:tc>
      </w:tr>
      <w:tr>
        <w:tc>
          <w:tcPr>
            <w:tcW w:type="dxa" w:w="2600"/>
            <w:tcMar>
              <w:top w:type="dxa" w:w="50"/>
              <w:left w:type="dxa" w:w="100"/>
              <w:bottom w:type="dxa" w:w="50"/>
              <w:right w:type="dxa" w:w="100"/>
            </w:tcMar>
          </w:tcPr>
          <w:p>
            <w:r>
              <w:rPr>
                <w:sz w:val="19"/>
                <w:szCs w:val="19"/>
              </w:rPr>
              <w:t xml:space="preserve">date</w:t>
            </w:r>
          </w:p>
        </w:tc>
        <w:tc>
          <w:tcPr>
            <w:tcW w:type="dxa" w:w="6200"/>
            <w:tcMar>
              <w:top w:type="dxa" w:w="50"/>
              <w:left w:type="dxa" w:w="100"/>
              <w:bottom w:type="dxa" w:w="50"/>
              <w:right w:type="dxa" w:w="100"/>
            </w:tcMar>
          </w:tcPr>
          <w:p>
            <w:r>
              <w:rPr>
                <w:sz w:val="19"/>
                <w:szCs w:val="19"/>
              </w:rPr>
              <w:t xml:space="preserve">Work date, YYYY-MM-DD</w:t>
            </w:r>
          </w:p>
        </w:tc>
      </w:tr>
      <w:tr>
        <w:tc>
          <w:tcPr>
            <w:tcW w:type="dxa" w:w="2600"/>
            <w:tcMar>
              <w:top w:type="dxa" w:w="50"/>
              <w:left w:type="dxa" w:w="100"/>
              <w:bottom w:type="dxa" w:w="50"/>
              <w:right w:type="dxa" w:w="100"/>
            </w:tcMar>
          </w:tcPr>
          <w:p>
            <w:r>
              <w:rPr>
                <w:sz w:val="19"/>
                <w:szCs w:val="19"/>
              </w:rPr>
              <w:t xml:space="preserve">hours_worked</w:t>
            </w:r>
          </w:p>
        </w:tc>
        <w:tc>
          <w:tcPr>
            <w:tcW w:type="dxa" w:w="6200"/>
            <w:tcMar>
              <w:top w:type="dxa" w:w="50"/>
              <w:left w:type="dxa" w:w="100"/>
              <w:bottom w:type="dxa" w:w="50"/>
              <w:right w:type="dxa" w:w="100"/>
            </w:tcMar>
          </w:tcPr>
          <w:p>
            <w:r>
              <w:rPr>
                <w:sz w:val="19"/>
                <w:szCs w:val="19"/>
              </w:rPr>
              <w:t xml:space="preserve">Hours that day — or leave blank and give in/out times</w:t>
            </w:r>
          </w:p>
        </w:tc>
      </w:tr>
      <w:tr>
        <w:tc>
          <w:tcPr>
            <w:tcW w:type="dxa" w:w="2600"/>
            <w:tcMar>
              <w:top w:type="dxa" w:w="50"/>
              <w:left w:type="dxa" w:w="100"/>
              <w:bottom w:type="dxa" w:w="50"/>
              <w:right w:type="dxa" w:w="100"/>
            </w:tcMar>
          </w:tcPr>
          <w:p>
            <w:r>
              <w:rPr>
                <w:sz w:val="19"/>
                <w:szCs w:val="19"/>
              </w:rPr>
              <w:t xml:space="preserve">time_in / time_out</w:t>
            </w:r>
          </w:p>
        </w:tc>
        <w:tc>
          <w:tcPr>
            <w:tcW w:type="dxa" w:w="6200"/>
            <w:tcMar>
              <w:top w:type="dxa" w:w="50"/>
              <w:left w:type="dxa" w:w="100"/>
              <w:bottom w:type="dxa" w:w="50"/>
              <w:right w:type="dxa" w:w="100"/>
            </w:tcMar>
          </w:tcPr>
          <w:p>
            <w:r>
              <w:rPr>
                <w:sz w:val="19"/>
                <w:szCs w:val="19"/>
              </w:rPr>
              <w:t xml:space="preserve">HH:MM; the app computes hours if hours_worked is blank</w:t>
            </w:r>
          </w:p>
        </w:tc>
      </w:tr>
    </w:tbl>
    <w:p>
      <w:pPr>
        <w:pStyle w:val="Heading2"/>
        <w:spacing w:after="90" w:before="220"/>
      </w:pPr>
      <w:r>
        <w:rPr>
          <w:b/>
          <w:bCs/>
          <w:color w:val="B8892E"/>
        </w:rPr>
        <w:t xml:space="preserve">3.7 Leave, loans and medical benefits</w:t>
      </w:r>
    </w:p>
    <w:p>
      <w:pPr>
        <w:spacing w:after="120"/>
      </w:pPr>
      <w:r>
        <w:rPr>
          <w:sz w:val="21"/>
          <w:szCs w:val="21"/>
        </w:rPr>
        <w:t xml:space="preserve">Record leave by type (annual, sick, casual, maternity, unpaid) with a paid percentage. Issue loans with a monthly deduction; the balance reduces automatically when payroll is authorised. Create medical plans with employer and employee monthly shares and enrol employees on their record.</w:t>
      </w:r>
    </w:p>
    <w:p>
      <w:pPr>
        <w:pStyle w:val="Heading2"/>
        <w:spacing w:after="90" w:before="220"/>
      </w:pPr>
      <w:r>
        <w:rPr>
          <w:b/>
          <w:bCs/>
          <w:color w:val="B8892E"/>
        </w:rPr>
        <w:t xml:space="preserve">3.8 Running payroll — the approval workflow</w:t>
      </w:r>
    </w:p>
    <w:p>
      <w:pPr>
        <w:pStyle w:val="ListParagraph"/>
        <w:numPr>
          <w:ilvl w:val="0"/>
          <w:numId w:val="3"/>
        </w:numPr>
        <w:spacing w:after="80"/>
      </w:pPr>
      <w:r>
        <w:rPr>
          <w:sz w:val="21"/>
          <w:szCs w:val="21"/>
        </w:rPr>
        <w:t xml:space="preserve">HR selects the period and runs payroll. The system computes gross, overtime, social insurance, income tax, loan and absence deductions, and net pay for every active employee.</w:t>
      </w:r>
    </w:p>
    <w:p>
      <w:pPr>
        <w:pStyle w:val="ListParagraph"/>
        <w:numPr>
          <w:ilvl w:val="0"/>
          <w:numId w:val="3"/>
        </w:numPr>
        <w:spacing w:after="80"/>
      </w:pPr>
      <w:r>
        <w:rPr>
          <w:sz w:val="21"/>
          <w:szCs w:val="21"/>
        </w:rPr>
        <w:t xml:space="preserve">HR submits the run for approval.</w:t>
      </w:r>
    </w:p>
    <w:p>
      <w:pPr>
        <w:pStyle w:val="ListParagraph"/>
        <w:numPr>
          <w:ilvl w:val="0"/>
          <w:numId w:val="3"/>
        </w:numPr>
        <w:spacing w:after="80"/>
      </w:pPr>
      <w:r>
        <w:rPr>
          <w:sz w:val="21"/>
          <w:szCs w:val="21"/>
        </w:rPr>
        <w:t xml:space="preserve">The Finance Manager reviews and approves.</w:t>
      </w:r>
    </w:p>
    <w:p>
      <w:pPr>
        <w:pStyle w:val="ListParagraph"/>
        <w:numPr>
          <w:ilvl w:val="0"/>
          <w:numId w:val="3"/>
        </w:numPr>
        <w:spacing w:after="80"/>
      </w:pPr>
      <w:r>
        <w:rPr>
          <w:sz w:val="21"/>
          <w:szCs w:val="21"/>
        </w:rPr>
        <w:t xml:space="preserve">If the delegation band requires it, the Managing Director authorises for payment. Loan balances reduce at this point.</w:t>
      </w:r>
    </w:p>
    <w:p>
      <w:pPr>
        <w:pStyle w:val="ListParagraph"/>
        <w:numPr>
          <w:ilvl w:val="0"/>
          <w:numId w:val="3"/>
        </w:numPr>
        <w:spacing w:after="80"/>
      </w:pPr>
      <w:r>
        <w:rPr>
          <w:sz w:val="21"/>
          <w:szCs w:val="21"/>
        </w:rPr>
        <w:t xml:space="preserve">The Finance Manager marks the run paid once the bank transfer is done.</w:t>
      </w:r>
    </w:p>
    <w:p>
      <w:pPr>
        <w:spacing w:after="120"/>
      </w:pPr>
      <w:r>
        <w:rPr>
          <w:sz w:val="21"/>
          <w:szCs w:val="21"/>
        </w:rPr>
        <w:t xml:space="preserve">Any approver can return a run to HR with a reason. Every step is recorded with the name and time in the audit log.</w:t>
      </w:r>
    </w:p>
    <w:p>
      <w:pPr>
        <w:pStyle w:val="Heading2"/>
        <w:spacing w:after="90" w:before="220"/>
      </w:pPr>
      <w:r>
        <w:rPr>
          <w:b/>
          <w:bCs/>
          <w:color w:val="B8892E"/>
        </w:rPr>
        <w:t xml:space="preserve">3.9 What Finance receives</w:t>
      </w:r>
    </w:p>
    <w:p>
      <w:pPr>
        <w:spacing w:after="120"/>
      </w:pPr>
      <w:r>
        <w:rPr>
          <w:b/>
          <w:bCs/>
          <w:sz w:val="21"/>
          <w:szCs w:val="21"/>
        </w:rPr>
        <w:t xml:space="preserve">Payment schedule. </w:t>
      </w:r>
      <w:r>
        <w:rPr>
          <w:sz w:val="21"/>
          <w:szCs w:val="21"/>
        </w:rPr>
        <w:t xml:space="preserve">Each employee's net pay with bank and account, the total to disburse, and the statutory remittances. Prints and exports to Excel as a bank payment file.</w:t>
      </w:r>
    </w:p>
    <w:p>
      <w:pPr>
        <w:spacing w:after="120"/>
      </w:pPr>
      <w:r>
        <w:rPr>
          <w:b/>
          <w:bCs/>
          <w:sz w:val="21"/>
          <w:szCs w:val="21"/>
        </w:rPr>
        <w:t xml:space="preserve">Insurance remittance schedule. </w:t>
      </w:r>
      <w:r>
        <w:rPr>
          <w:sz w:val="21"/>
          <w:szCs w:val="21"/>
        </w:rPr>
        <w:t xml:space="preserve">The auditable social-insurance return for the authority (NOSI): per employee the insurable wage and the 11% / 18.75% / 1% split, with company insurance registration number and the approval trail printed on it. Prints and exports to Excel. A yearly register under Reports lists every month's return.</w:t>
      </w:r>
    </w:p>
    <w:p>
      <w:pPr>
        <w:spacing w:after="120"/>
      </w:pPr>
      <w:r>
        <w:rPr>
          <w:b/>
          <w:bCs/>
          <w:sz w:val="21"/>
          <w:szCs w:val="21"/>
        </w:rPr>
        <w:t xml:space="preserve">Payslips. </w:t>
      </w:r>
      <w:r>
        <w:rPr>
          <w:sz w:val="21"/>
          <w:szCs w:val="21"/>
        </w:rPr>
        <w:t xml:space="preserve">Print from each employee's record or from the run.</w:t>
      </w:r>
    </w:p>
    <w:p>
      <w:pPr>
        <w:pStyle w:val="Heading2"/>
        <w:spacing w:after="90" w:before="220"/>
      </w:pPr>
      <w:r>
        <w:rPr>
          <w:b/>
          <w:bCs/>
          <w:color w:val="B8892E"/>
        </w:rPr>
        <w:t xml:space="preserve">3.10 Leave-pay provision (for Finance)</w:t>
      </w:r>
    </w:p>
    <w:p>
      <w:pPr>
        <w:spacing w:after="120"/>
      </w:pPr>
      <w:r>
        <w:rPr>
          <w:sz w:val="21"/>
          <w:szCs w:val="21"/>
        </w:rPr>
        <w:t xml:space="preserve">The Leave pay provision report values the accrued-but-untaken statutory annual leave each employee has earned — the liability Finance carries. Choose a year and month to see, per employee, the annual entitlement, days accrued to date, days taken, the balance, the daily rate and the money value of the balance, plus the month's accrual charge and the total liability.</w:t>
      </w:r>
    </w:p>
    <w:p>
      <w:pPr>
        <w:spacing w:after="120"/>
      </w:pPr>
      <w:r>
        <w:rPr>
          <w:sz w:val="21"/>
          <w:szCs w:val="21"/>
        </w:rPr>
        <w:t xml:space="preserve">The Finance Manager can post the provision for a month, which saves a dated snapshot. The movement table then shows the liability month by month, so the figure is fully tracked and auditable. The provision is calculated as the untaken balance of days multiplied by the daily rate (monthly pay divided by days per month).</w:t>
      </w:r>
    </w:p>
    <w:p>
      <w:pPr>
        <w:pStyle w:val="Heading2"/>
        <w:spacing w:after="90" w:before="220"/>
      </w:pPr>
      <w:r>
        <w:rPr>
          <w:b/>
          <w:bCs/>
          <w:color w:val="B8892E"/>
        </w:rPr>
        <w:t xml:space="preserve">3.11 Reports</w:t>
      </w:r>
    </w:p>
    <w:p>
      <w:pPr>
        <w:spacing w:after="120"/>
      </w:pPr>
      <w:r>
        <w:rPr>
          <w:sz w:val="21"/>
          <w:szCs w:val="21"/>
        </w:rPr>
        <w:t xml:space="preserve">Attendance, sick days, starters &amp; leavers, management statistics, the insurance remittance register, the leave-pay provision and the loan register. Each exports to Excel.</w:t>
      </w:r>
    </w:p>
    <w:p>
      <w:pPr>
        <w:pStyle w:val="Heading2"/>
        <w:spacing w:after="90" w:before="220"/>
      </w:pPr>
      <w:r>
        <w:rPr>
          <w:b/>
          <w:bCs/>
          <w:color w:val="B8892E"/>
        </w:rPr>
        <w:t xml:space="preserve">3.12 Users and audit log</w:t>
      </w:r>
    </w:p>
    <w:p>
      <w:pPr>
        <w:spacing w:after="120"/>
      </w:pPr>
      <w:r>
        <w:rPr>
          <w:sz w:val="21"/>
          <w:szCs w:val="21"/>
        </w:rPr>
        <w:t xml:space="preserve">The Administrator creates users and sets roles under Users. The Finance Manager and Managing Director can open the Audit log, an append-only record of who did what and when across payroll, users and settings.</w:t>
      </w:r>
    </w:p>
    <w:p>
      <w:r>
        <w:br w:type="page"/>
      </w:r>
    </w:p>
    <w:p>
      <w:pPr>
        <w:pStyle w:val="Heading1"/>
        <w:spacing w:after="140" w:before="320"/>
      </w:pPr>
      <w:r>
        <w:rPr>
          <w:b/>
          <w:bCs/>
          <w:color w:val="101A2B"/>
        </w:rPr>
        <w:t xml:space="preserve">Appendix A — Statutory basis (defaults)</w:t>
      </w:r>
    </w:p>
    <w:p>
      <w:pPr>
        <w:spacing w:after="120"/>
      </w:pPr>
      <w:r>
        <w:rPr>
          <w:sz w:val="21"/>
          <w:szCs w:val="21"/>
        </w:rPr>
        <w:t xml:space="preserve">Shipped defaults reflect the position for 2026. Confirm current figures with your tax and insurance advisers and update Settings as needed.</w:t>
      </w: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3200"/>
        <w:gridCol w:w="2600"/>
        <w:gridCol w:w="3000"/>
      </w:tblGrid>
      <w:tr>
        <w:trPr>
          <w:tblHeader/>
        </w:trPr>
        <w:tc>
          <w:tcPr>
            <w:tcW w:type="dxa" w:w="3200"/>
            <w:shd w:fill="101A2B" w:val="clear"/>
            <w:tcMar>
              <w:top w:type="dxa" w:w="60"/>
              <w:left w:type="dxa" w:w="100"/>
              <w:bottom w:type="dxa" w:w="60"/>
              <w:right w:type="dxa" w:w="100"/>
            </w:tcMar>
          </w:tcPr>
          <w:p>
            <w:r>
              <w:rPr>
                <w:b/>
                <w:bCs/>
                <w:color w:val="FFFFFF"/>
                <w:sz w:val="19"/>
                <w:szCs w:val="19"/>
              </w:rPr>
              <w:t xml:space="preserve">Item</w:t>
            </w:r>
          </w:p>
        </w:tc>
        <w:tc>
          <w:tcPr>
            <w:tcW w:type="dxa" w:w="2600"/>
            <w:shd w:fill="101A2B" w:val="clear"/>
            <w:tcMar>
              <w:top w:type="dxa" w:w="60"/>
              <w:left w:type="dxa" w:w="100"/>
              <w:bottom w:type="dxa" w:w="60"/>
              <w:right w:type="dxa" w:w="100"/>
            </w:tcMar>
          </w:tcPr>
          <w:p>
            <w:r>
              <w:rPr>
                <w:b/>
                <w:bCs/>
                <w:color w:val="FFFFFF"/>
                <w:sz w:val="19"/>
                <w:szCs w:val="19"/>
              </w:rPr>
              <w:t xml:space="preserve">Default</w:t>
            </w:r>
          </w:p>
        </w:tc>
        <w:tc>
          <w:tcPr>
            <w:tcW w:type="dxa" w:w="3000"/>
            <w:shd w:fill="101A2B" w:val="clear"/>
            <w:tcMar>
              <w:top w:type="dxa" w:w="60"/>
              <w:left w:type="dxa" w:w="100"/>
              <w:bottom w:type="dxa" w:w="60"/>
              <w:right w:type="dxa" w:w="100"/>
            </w:tcMar>
          </w:tcPr>
          <w:p>
            <w:r>
              <w:rPr>
                <w:b/>
                <w:bCs/>
                <w:color w:val="FFFFFF"/>
                <w:sz w:val="19"/>
                <w:szCs w:val="19"/>
              </w:rPr>
              <w:t xml:space="preserve">Basis</w:t>
            </w:r>
          </w:p>
        </w:tc>
      </w:tr>
      <w:tr>
        <w:tc>
          <w:tcPr>
            <w:tcW w:type="dxa" w:w="3200"/>
            <w:tcMar>
              <w:top w:type="dxa" w:w="50"/>
              <w:left w:type="dxa" w:w="100"/>
              <w:bottom w:type="dxa" w:w="50"/>
              <w:right w:type="dxa" w:w="100"/>
            </w:tcMar>
          </w:tcPr>
          <w:p>
            <w:r>
              <w:rPr>
                <w:sz w:val="19"/>
                <w:szCs w:val="19"/>
              </w:rPr>
              <w:t xml:space="preserve">Social insurance — employee</w:t>
            </w:r>
          </w:p>
        </w:tc>
        <w:tc>
          <w:tcPr>
            <w:tcW w:type="dxa" w:w="2600"/>
            <w:tcMar>
              <w:top w:type="dxa" w:w="50"/>
              <w:left w:type="dxa" w:w="100"/>
              <w:bottom w:type="dxa" w:w="50"/>
              <w:right w:type="dxa" w:w="100"/>
            </w:tcMar>
          </w:tcPr>
          <w:p>
            <w:r>
              <w:rPr>
                <w:sz w:val="19"/>
                <w:szCs w:val="19"/>
              </w:rPr>
              <w:t xml:space="preserve">11%</w:t>
            </w:r>
          </w:p>
        </w:tc>
        <w:tc>
          <w:tcPr>
            <w:tcW w:type="dxa" w:w="3000"/>
            <w:tcMar>
              <w:top w:type="dxa" w:w="50"/>
              <w:left w:type="dxa" w:w="100"/>
              <w:bottom w:type="dxa" w:w="50"/>
              <w:right w:type="dxa" w:w="100"/>
            </w:tcMar>
          </w:tcPr>
          <w:p>
            <w:r>
              <w:rPr>
                <w:sz w:val="19"/>
                <w:szCs w:val="19"/>
              </w:rPr>
              <w:t xml:space="preserve">Law 148/2019</w:t>
            </w:r>
          </w:p>
        </w:tc>
      </w:tr>
      <w:tr>
        <w:tc>
          <w:tcPr>
            <w:tcW w:type="dxa" w:w="3200"/>
            <w:tcMar>
              <w:top w:type="dxa" w:w="50"/>
              <w:left w:type="dxa" w:w="100"/>
              <w:bottom w:type="dxa" w:w="50"/>
              <w:right w:type="dxa" w:w="100"/>
            </w:tcMar>
          </w:tcPr>
          <w:p>
            <w:r>
              <w:rPr>
                <w:sz w:val="19"/>
                <w:szCs w:val="19"/>
              </w:rPr>
              <w:t xml:space="preserve">Social insurance — employer</w:t>
            </w:r>
          </w:p>
        </w:tc>
        <w:tc>
          <w:tcPr>
            <w:tcW w:type="dxa" w:w="2600"/>
            <w:tcMar>
              <w:top w:type="dxa" w:w="50"/>
              <w:left w:type="dxa" w:w="100"/>
              <w:bottom w:type="dxa" w:w="50"/>
              <w:right w:type="dxa" w:w="100"/>
            </w:tcMar>
          </w:tcPr>
          <w:p>
            <w:r>
              <w:rPr>
                <w:sz w:val="19"/>
                <w:szCs w:val="19"/>
              </w:rPr>
              <w:t xml:space="preserve">18.75%</w:t>
            </w:r>
          </w:p>
        </w:tc>
        <w:tc>
          <w:tcPr>
            <w:tcW w:type="dxa" w:w="3000"/>
            <w:tcMar>
              <w:top w:type="dxa" w:w="50"/>
              <w:left w:type="dxa" w:w="100"/>
              <w:bottom w:type="dxa" w:w="50"/>
              <w:right w:type="dxa" w:w="100"/>
            </w:tcMar>
          </w:tcPr>
          <w:p>
            <w:r>
              <w:rPr>
                <w:sz w:val="19"/>
                <w:szCs w:val="19"/>
              </w:rPr>
              <w:t xml:space="preserve">Law 148/2019</w:t>
            </w:r>
          </w:p>
        </w:tc>
      </w:tr>
      <w:tr>
        <w:tc>
          <w:tcPr>
            <w:tcW w:type="dxa" w:w="3200"/>
            <w:tcMar>
              <w:top w:type="dxa" w:w="50"/>
              <w:left w:type="dxa" w:w="100"/>
              <w:bottom w:type="dxa" w:w="50"/>
              <w:right w:type="dxa" w:w="100"/>
            </w:tcMar>
          </w:tcPr>
          <w:p>
            <w:r>
              <w:rPr>
                <w:sz w:val="19"/>
                <w:szCs w:val="19"/>
              </w:rPr>
              <w:t xml:space="preserve">Emergency fund (employer)</w:t>
            </w:r>
          </w:p>
        </w:tc>
        <w:tc>
          <w:tcPr>
            <w:tcW w:type="dxa" w:w="2600"/>
            <w:tcMar>
              <w:top w:type="dxa" w:w="50"/>
              <w:left w:type="dxa" w:w="100"/>
              <w:bottom w:type="dxa" w:w="50"/>
              <w:right w:type="dxa" w:w="100"/>
            </w:tcMar>
          </w:tcPr>
          <w:p>
            <w:r>
              <w:rPr>
                <w:sz w:val="19"/>
                <w:szCs w:val="19"/>
              </w:rPr>
              <w:t xml:space="preserve">1%</w:t>
            </w:r>
          </w:p>
        </w:tc>
        <w:tc>
          <w:tcPr>
            <w:tcW w:type="dxa" w:w="3000"/>
            <w:tcMar>
              <w:top w:type="dxa" w:w="50"/>
              <w:left w:type="dxa" w:w="100"/>
              <w:bottom w:type="dxa" w:w="50"/>
              <w:right w:type="dxa" w:w="100"/>
            </w:tcMar>
          </w:tcPr>
          <w:p>
            <w:r>
              <w:rPr>
                <w:sz w:val="19"/>
                <w:szCs w:val="19"/>
              </w:rPr>
              <w:t xml:space="preserve">Law 148/2019</w:t>
            </w:r>
          </w:p>
        </w:tc>
      </w:tr>
      <w:tr>
        <w:tc>
          <w:tcPr>
            <w:tcW w:type="dxa" w:w="3200"/>
            <w:tcMar>
              <w:top w:type="dxa" w:w="50"/>
              <w:left w:type="dxa" w:w="100"/>
              <w:bottom w:type="dxa" w:w="50"/>
              <w:right w:type="dxa" w:w="100"/>
            </w:tcMar>
          </w:tcPr>
          <w:p>
            <w:r>
              <w:rPr>
                <w:sz w:val="19"/>
                <w:szCs w:val="19"/>
              </w:rPr>
              <w:t xml:space="preserve">Insurable wage floor</w:t>
            </w:r>
          </w:p>
        </w:tc>
        <w:tc>
          <w:tcPr>
            <w:tcW w:type="dxa" w:w="2600"/>
            <w:tcMar>
              <w:top w:type="dxa" w:w="50"/>
              <w:left w:type="dxa" w:w="100"/>
              <w:bottom w:type="dxa" w:w="50"/>
              <w:right w:type="dxa" w:w="100"/>
            </w:tcMar>
          </w:tcPr>
          <w:p>
            <w:r>
              <w:rPr>
                <w:sz w:val="19"/>
                <w:szCs w:val="19"/>
              </w:rPr>
              <w:t xml:space="preserve">EGP 2,700 / month</w:t>
            </w:r>
          </w:p>
        </w:tc>
        <w:tc>
          <w:tcPr>
            <w:tcW w:type="dxa" w:w="3000"/>
            <w:tcMar>
              <w:top w:type="dxa" w:w="50"/>
              <w:left w:type="dxa" w:w="100"/>
              <w:bottom w:type="dxa" w:w="50"/>
              <w:right w:type="dxa" w:w="100"/>
            </w:tcMar>
          </w:tcPr>
          <w:p>
            <w:r>
              <w:rPr>
                <w:sz w:val="19"/>
                <w:szCs w:val="19"/>
              </w:rPr>
              <w:t xml:space="preserve">2026; +15% each January</w:t>
            </w:r>
          </w:p>
        </w:tc>
      </w:tr>
      <w:tr>
        <w:tc>
          <w:tcPr>
            <w:tcW w:type="dxa" w:w="3200"/>
            <w:tcMar>
              <w:top w:type="dxa" w:w="50"/>
              <w:left w:type="dxa" w:w="100"/>
              <w:bottom w:type="dxa" w:w="50"/>
              <w:right w:type="dxa" w:w="100"/>
            </w:tcMar>
          </w:tcPr>
          <w:p>
            <w:r>
              <w:rPr>
                <w:sz w:val="19"/>
                <w:szCs w:val="19"/>
              </w:rPr>
              <w:t xml:space="preserve">Insurable wage ceiling</w:t>
            </w:r>
          </w:p>
        </w:tc>
        <w:tc>
          <w:tcPr>
            <w:tcW w:type="dxa" w:w="2600"/>
            <w:tcMar>
              <w:top w:type="dxa" w:w="50"/>
              <w:left w:type="dxa" w:w="100"/>
              <w:bottom w:type="dxa" w:w="50"/>
              <w:right w:type="dxa" w:w="100"/>
            </w:tcMar>
          </w:tcPr>
          <w:p>
            <w:r>
              <w:rPr>
                <w:sz w:val="19"/>
                <w:szCs w:val="19"/>
              </w:rPr>
              <w:t xml:space="preserve">EGP 16,700 / month</w:t>
            </w:r>
          </w:p>
        </w:tc>
        <w:tc>
          <w:tcPr>
            <w:tcW w:type="dxa" w:w="3000"/>
            <w:tcMar>
              <w:top w:type="dxa" w:w="50"/>
              <w:left w:type="dxa" w:w="100"/>
              <w:bottom w:type="dxa" w:w="50"/>
              <w:right w:type="dxa" w:w="100"/>
            </w:tcMar>
          </w:tcPr>
          <w:p>
            <w:r>
              <w:rPr>
                <w:sz w:val="19"/>
                <w:szCs w:val="19"/>
              </w:rPr>
              <w:t xml:space="preserve">2026; +15% each January</w:t>
            </w:r>
          </w:p>
        </w:tc>
      </w:tr>
      <w:tr>
        <w:tc>
          <w:tcPr>
            <w:tcW w:type="dxa" w:w="3200"/>
            <w:tcMar>
              <w:top w:type="dxa" w:w="50"/>
              <w:left w:type="dxa" w:w="100"/>
              <w:bottom w:type="dxa" w:w="50"/>
              <w:right w:type="dxa" w:w="100"/>
            </w:tcMar>
          </w:tcPr>
          <w:p>
            <w:r>
              <w:rPr>
                <w:sz w:val="19"/>
                <w:szCs w:val="19"/>
              </w:rPr>
              <w:t xml:space="preserve">Income tax</w:t>
            </w:r>
          </w:p>
        </w:tc>
        <w:tc>
          <w:tcPr>
            <w:tcW w:type="dxa" w:w="2600"/>
            <w:tcMar>
              <w:top w:type="dxa" w:w="50"/>
              <w:left w:type="dxa" w:w="100"/>
              <w:bottom w:type="dxa" w:w="50"/>
              <w:right w:type="dxa" w:w="100"/>
            </w:tcMar>
          </w:tcPr>
          <w:p>
            <w:r>
              <w:rPr>
                <w:sz w:val="19"/>
                <w:szCs w:val="19"/>
              </w:rPr>
              <w:t xml:space="preserve">0%–27.5% progressive</w:t>
            </w:r>
          </w:p>
        </w:tc>
        <w:tc>
          <w:tcPr>
            <w:tcW w:type="dxa" w:w="3000"/>
            <w:tcMar>
              <w:top w:type="dxa" w:w="50"/>
              <w:left w:type="dxa" w:w="100"/>
              <w:bottom w:type="dxa" w:w="50"/>
              <w:right w:type="dxa" w:w="100"/>
            </w:tcMar>
          </w:tcPr>
          <w:p>
            <w:r>
              <w:rPr>
                <w:sz w:val="19"/>
                <w:szCs w:val="19"/>
              </w:rPr>
              <w:t xml:space="preserve">Law 91/2005, amended by Law 7/2024</w:t>
            </w:r>
          </w:p>
        </w:tc>
      </w:tr>
      <w:tr>
        <w:tc>
          <w:tcPr>
            <w:tcW w:type="dxa" w:w="3200"/>
            <w:tcMar>
              <w:top w:type="dxa" w:w="50"/>
              <w:left w:type="dxa" w:w="100"/>
              <w:bottom w:type="dxa" w:w="50"/>
              <w:right w:type="dxa" w:w="100"/>
            </w:tcMar>
          </w:tcPr>
          <w:p>
            <w:r>
              <w:rPr>
                <w:sz w:val="19"/>
                <w:szCs w:val="19"/>
              </w:rPr>
              <w:t xml:space="preserve">Annual salary exemption</w:t>
            </w:r>
          </w:p>
        </w:tc>
        <w:tc>
          <w:tcPr>
            <w:tcW w:type="dxa" w:w="2600"/>
            <w:tcMar>
              <w:top w:type="dxa" w:w="50"/>
              <w:left w:type="dxa" w:w="100"/>
              <w:bottom w:type="dxa" w:w="50"/>
              <w:right w:type="dxa" w:w="100"/>
            </w:tcMar>
          </w:tcPr>
          <w:p>
            <w:r>
              <w:rPr>
                <w:sz w:val="19"/>
                <w:szCs w:val="19"/>
              </w:rPr>
              <w:t xml:space="preserve">EGP 20,000</w:t>
            </w:r>
          </w:p>
        </w:tc>
        <w:tc>
          <w:tcPr>
            <w:tcW w:type="dxa" w:w="3000"/>
            <w:tcMar>
              <w:top w:type="dxa" w:w="50"/>
              <w:left w:type="dxa" w:w="100"/>
              <w:bottom w:type="dxa" w:w="50"/>
              <w:right w:type="dxa" w:w="100"/>
            </w:tcMar>
          </w:tcPr>
          <w:p>
            <w:r>
              <w:rPr>
                <w:sz w:val="19"/>
                <w:szCs w:val="19"/>
              </w:rPr>
              <w:t xml:space="preserve">Income tax law</w:t>
            </w:r>
          </w:p>
        </w:tc>
      </w:tr>
      <w:tr>
        <w:tc>
          <w:tcPr>
            <w:tcW w:type="dxa" w:w="3200"/>
            <w:tcMar>
              <w:top w:type="dxa" w:w="50"/>
              <w:left w:type="dxa" w:w="100"/>
              <w:bottom w:type="dxa" w:w="50"/>
              <w:right w:type="dxa" w:w="100"/>
            </w:tcMar>
          </w:tcPr>
          <w:p>
            <w:r>
              <w:rPr>
                <w:sz w:val="19"/>
                <w:szCs w:val="19"/>
              </w:rPr>
              <w:t xml:space="preserve">Standard hours</w:t>
            </w:r>
          </w:p>
        </w:tc>
        <w:tc>
          <w:tcPr>
            <w:tcW w:type="dxa" w:w="2600"/>
            <w:tcMar>
              <w:top w:type="dxa" w:w="50"/>
              <w:left w:type="dxa" w:w="100"/>
              <w:bottom w:type="dxa" w:w="50"/>
              <w:right w:type="dxa" w:w="100"/>
            </w:tcMar>
          </w:tcPr>
          <w:p>
            <w:r>
              <w:rPr>
                <w:sz w:val="19"/>
                <w:szCs w:val="19"/>
              </w:rPr>
              <w:t xml:space="preserve">8/day, 48/week</w:t>
            </w:r>
          </w:p>
        </w:tc>
        <w:tc>
          <w:tcPr>
            <w:tcW w:type="dxa" w:w="3000"/>
            <w:tcMar>
              <w:top w:type="dxa" w:w="50"/>
              <w:left w:type="dxa" w:w="100"/>
              <w:bottom w:type="dxa" w:w="50"/>
              <w:right w:type="dxa" w:w="100"/>
            </w:tcMar>
          </w:tcPr>
          <w:p>
            <w:r>
              <w:rPr>
                <w:sz w:val="19"/>
                <w:szCs w:val="19"/>
              </w:rPr>
              <w:t xml:space="preserve">Law 14/2025</w:t>
            </w:r>
          </w:p>
        </w:tc>
      </w:tr>
      <w:tr>
        <w:tc>
          <w:tcPr>
            <w:tcW w:type="dxa" w:w="3200"/>
            <w:tcMar>
              <w:top w:type="dxa" w:w="50"/>
              <w:left w:type="dxa" w:w="100"/>
              <w:bottom w:type="dxa" w:w="50"/>
              <w:right w:type="dxa" w:w="100"/>
            </w:tcMar>
          </w:tcPr>
          <w:p>
            <w:r>
              <w:rPr>
                <w:sz w:val="19"/>
                <w:szCs w:val="19"/>
              </w:rPr>
              <w:t xml:space="preserve">Overtime premium</w:t>
            </w:r>
          </w:p>
        </w:tc>
        <w:tc>
          <w:tcPr>
            <w:tcW w:type="dxa" w:w="2600"/>
            <w:tcMar>
              <w:top w:type="dxa" w:w="50"/>
              <w:left w:type="dxa" w:w="100"/>
              <w:bottom w:type="dxa" w:w="50"/>
              <w:right w:type="dxa" w:w="100"/>
            </w:tcMar>
          </w:tcPr>
          <w:p>
            <w:r>
              <w:rPr>
                <w:sz w:val="19"/>
                <w:szCs w:val="19"/>
              </w:rPr>
              <w:t xml:space="preserve">35% day / 70% night</w:t>
            </w:r>
          </w:p>
        </w:tc>
        <w:tc>
          <w:tcPr>
            <w:tcW w:type="dxa" w:w="3000"/>
            <w:tcMar>
              <w:top w:type="dxa" w:w="50"/>
              <w:left w:type="dxa" w:w="100"/>
              <w:bottom w:type="dxa" w:w="50"/>
              <w:right w:type="dxa" w:w="100"/>
            </w:tcMar>
          </w:tcPr>
          <w:p>
            <w:r>
              <w:rPr>
                <w:sz w:val="19"/>
                <w:szCs w:val="19"/>
              </w:rPr>
              <w:t xml:space="preserve">Law 14/2025</w:t>
            </w:r>
          </w:p>
        </w:tc>
      </w:tr>
      <w:tr>
        <w:tc>
          <w:tcPr>
            <w:tcW w:type="dxa" w:w="3200"/>
            <w:tcMar>
              <w:top w:type="dxa" w:w="50"/>
              <w:left w:type="dxa" w:w="100"/>
              <w:bottom w:type="dxa" w:w="50"/>
              <w:right w:type="dxa" w:w="100"/>
            </w:tcMar>
          </w:tcPr>
          <w:p>
            <w:r>
              <w:rPr>
                <w:sz w:val="19"/>
                <w:szCs w:val="19"/>
              </w:rPr>
              <w:t xml:space="preserve">Annual leave</w:t>
            </w:r>
          </w:p>
        </w:tc>
        <w:tc>
          <w:tcPr>
            <w:tcW w:type="dxa" w:w="2600"/>
            <w:tcMar>
              <w:top w:type="dxa" w:w="50"/>
              <w:left w:type="dxa" w:w="100"/>
              <w:bottom w:type="dxa" w:w="50"/>
              <w:right w:type="dxa" w:w="100"/>
            </w:tcMar>
          </w:tcPr>
          <w:p>
            <w:r>
              <w:rPr>
                <w:sz w:val="19"/>
                <w:szCs w:val="19"/>
              </w:rPr>
              <w:t xml:space="preserve">15 / 21 / 30 days</w:t>
            </w:r>
          </w:p>
        </w:tc>
        <w:tc>
          <w:tcPr>
            <w:tcW w:type="dxa" w:w="3000"/>
            <w:tcMar>
              <w:top w:type="dxa" w:w="50"/>
              <w:left w:type="dxa" w:w="100"/>
              <w:bottom w:type="dxa" w:w="50"/>
              <w:right w:type="dxa" w:w="100"/>
            </w:tcMar>
          </w:tcPr>
          <w:p>
            <w:r>
              <w:rPr>
                <w:sz w:val="19"/>
                <w:szCs w:val="19"/>
              </w:rPr>
              <w:t xml:space="preserve">Law 14/2025 tiers</w:t>
            </w:r>
          </w:p>
        </w:tc>
      </w:tr>
    </w:tbl>
    <w:p>
      <w:pPr>
        <w:pStyle w:val="Heading1"/>
        <w:spacing w:after="140" w:before="320"/>
      </w:pPr>
      <w:r>
        <w:rPr>
          <w:b/>
          <w:bCs/>
          <w:color w:val="101A2B"/>
        </w:rPr>
        <w:t xml:space="preserve">Appendix B — Troubleshooting</w:t>
      </w: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3400"/>
        <w:gridCol w:w="5400"/>
      </w:tblGrid>
      <w:tr>
        <w:trPr>
          <w:tblHeader/>
        </w:trPr>
        <w:tc>
          <w:tcPr>
            <w:tcW w:type="dxa" w:w="3400"/>
            <w:shd w:fill="101A2B" w:val="clear"/>
            <w:tcMar>
              <w:top w:type="dxa" w:w="60"/>
              <w:left w:type="dxa" w:w="100"/>
              <w:bottom w:type="dxa" w:w="60"/>
              <w:right w:type="dxa" w:w="100"/>
            </w:tcMar>
          </w:tcPr>
          <w:p>
            <w:r>
              <w:rPr>
                <w:b/>
                <w:bCs/>
                <w:color w:val="FFFFFF"/>
                <w:sz w:val="19"/>
                <w:szCs w:val="19"/>
              </w:rPr>
              <w:t xml:space="preserve">Symptom</w:t>
            </w:r>
          </w:p>
        </w:tc>
        <w:tc>
          <w:tcPr>
            <w:tcW w:type="dxa" w:w="5400"/>
            <w:shd w:fill="101A2B" w:val="clear"/>
            <w:tcMar>
              <w:top w:type="dxa" w:w="60"/>
              <w:left w:type="dxa" w:w="100"/>
              <w:bottom w:type="dxa" w:w="60"/>
              <w:right w:type="dxa" w:w="100"/>
            </w:tcMar>
          </w:tcPr>
          <w:p>
            <w:r>
              <w:rPr>
                <w:b/>
                <w:bCs/>
                <w:color w:val="FFFFFF"/>
                <w:sz w:val="19"/>
                <w:szCs w:val="19"/>
              </w:rPr>
              <w:t xml:space="preserve">Fix</w:t>
            </w:r>
          </w:p>
        </w:tc>
      </w:tr>
      <w:tr>
        <w:tc>
          <w:tcPr>
            <w:tcW w:type="dxa" w:w="3400"/>
            <w:tcMar>
              <w:top w:type="dxa" w:w="50"/>
              <w:left w:type="dxa" w:w="100"/>
              <w:bottom w:type="dxa" w:w="50"/>
              <w:right w:type="dxa" w:w="100"/>
            </w:tcMar>
          </w:tcPr>
          <w:p>
            <w:r>
              <w:rPr>
                <w:sz w:val="19"/>
                <w:szCs w:val="19"/>
              </w:rPr>
              <w:t xml:space="preserve">Can't approve a run you prepared</w:t>
            </w:r>
          </w:p>
        </w:tc>
        <w:tc>
          <w:tcPr>
            <w:tcW w:type="dxa" w:w="5400"/>
            <w:tcMar>
              <w:top w:type="dxa" w:w="50"/>
              <w:left w:type="dxa" w:w="100"/>
              <w:bottom w:type="dxa" w:w="50"/>
              <w:right w:type="dxa" w:w="100"/>
            </w:tcMar>
          </w:tcPr>
          <w:p>
            <w:r>
              <w:rPr>
                <w:sz w:val="19"/>
                <w:szCs w:val="19"/>
              </w:rPr>
              <w:t xml:space="preserve">By design — segregation of duties. A different user must approve.</w:t>
            </w:r>
          </w:p>
        </w:tc>
      </w:tr>
      <w:tr>
        <w:tc>
          <w:tcPr>
            <w:tcW w:type="dxa" w:w="3400"/>
            <w:tcMar>
              <w:top w:type="dxa" w:w="50"/>
              <w:left w:type="dxa" w:w="100"/>
              <w:bottom w:type="dxa" w:w="50"/>
              <w:right w:type="dxa" w:w="100"/>
            </w:tcMar>
          </w:tcPr>
          <w:p>
            <w:r>
              <w:rPr>
                <w:sz w:val="19"/>
                <w:szCs w:val="19"/>
              </w:rPr>
              <w:t xml:space="preserve">Approve button not shown</w:t>
            </w:r>
          </w:p>
        </w:tc>
        <w:tc>
          <w:tcPr>
            <w:tcW w:type="dxa" w:w="5400"/>
            <w:tcMar>
              <w:top w:type="dxa" w:w="50"/>
              <w:left w:type="dxa" w:w="100"/>
              <w:bottom w:type="dxa" w:w="50"/>
              <w:right w:type="dxa" w:w="100"/>
            </w:tcMar>
          </w:tcPr>
          <w:p>
            <w:r>
              <w:rPr>
                <w:sz w:val="19"/>
                <w:szCs w:val="19"/>
              </w:rPr>
              <w:t xml:space="preserve">Your role can't perform that step, or the run isn't at that stage yet.</w:t>
            </w:r>
          </w:p>
        </w:tc>
      </w:tr>
      <w:tr>
        <w:tc>
          <w:tcPr>
            <w:tcW w:type="dxa" w:w="3400"/>
            <w:tcMar>
              <w:top w:type="dxa" w:w="50"/>
              <w:left w:type="dxa" w:w="100"/>
              <w:bottom w:type="dxa" w:w="50"/>
              <w:right w:type="dxa" w:w="100"/>
            </w:tcMar>
          </w:tcPr>
          <w:p>
            <w:r>
              <w:rPr>
                <w:sz w:val="19"/>
                <w:szCs w:val="19"/>
              </w:rPr>
              <w:t xml:space="preserve">Deploy fails on the database driver</w:t>
            </w:r>
          </w:p>
        </w:tc>
        <w:tc>
          <w:tcPr>
            <w:tcW w:type="dxa" w:w="5400"/>
            <w:tcMar>
              <w:top w:type="dxa" w:w="50"/>
              <w:left w:type="dxa" w:w="100"/>
              <w:bottom w:type="dxa" w:w="50"/>
              <w:right w:type="dxa" w:w="100"/>
            </w:tcMar>
          </w:tcPr>
          <w:p>
            <w:r>
              <w:rPr>
                <w:sz w:val="19"/>
                <w:szCs w:val="19"/>
              </w:rPr>
              <w:t xml:space="preserve">Python is pinned to 3.12 via runtime.txt; confirm Render used it.</w:t>
            </w:r>
          </w:p>
        </w:tc>
      </w:tr>
      <w:tr>
        <w:tc>
          <w:tcPr>
            <w:tcW w:type="dxa" w:w="3400"/>
            <w:tcMar>
              <w:top w:type="dxa" w:w="50"/>
              <w:left w:type="dxa" w:w="100"/>
              <w:bottom w:type="dxa" w:w="50"/>
              <w:right w:type="dxa" w:w="100"/>
            </w:tcMar>
          </w:tcPr>
          <w:p>
            <w:r>
              <w:rPr>
                <w:sz w:val="19"/>
                <w:szCs w:val="19"/>
              </w:rPr>
              <w:t xml:space="preserve">Styling looks unstyled after upload</w:t>
            </w:r>
          </w:p>
        </w:tc>
        <w:tc>
          <w:tcPr>
            <w:tcW w:type="dxa" w:w="5400"/>
            <w:tcMar>
              <w:top w:type="dxa" w:w="50"/>
              <w:left w:type="dxa" w:w="100"/>
              <w:bottom w:type="dxa" w:w="50"/>
              <w:right w:type="dxa" w:w="100"/>
            </w:tcMar>
          </w:tcPr>
          <w:p>
            <w:r>
              <w:rPr>
                <w:sz w:val="19"/>
                <w:szCs w:val="19"/>
              </w:rPr>
              <w:t xml:space="preserve">Upload with folders intact (GitHub Desktop) so templates/static stay in place.</w:t>
            </w:r>
          </w:p>
        </w:tc>
      </w:tr>
      <w:tr>
        <w:tc>
          <w:tcPr>
            <w:tcW w:type="dxa" w:w="3400"/>
            <w:tcMar>
              <w:top w:type="dxa" w:w="50"/>
              <w:left w:type="dxa" w:w="100"/>
              <w:bottom w:type="dxa" w:w="50"/>
              <w:right w:type="dxa" w:w="100"/>
            </w:tcMar>
          </w:tcPr>
          <w:p>
            <w:r>
              <w:rPr>
                <w:sz w:val="19"/>
                <w:szCs w:val="19"/>
              </w:rPr>
              <w:t xml:space="preserve">No attendance deductions</w:t>
            </w:r>
          </w:p>
        </w:tc>
        <w:tc>
          <w:tcPr>
            <w:tcW w:type="dxa" w:w="5400"/>
            <w:tcMar>
              <w:top w:type="dxa" w:w="50"/>
              <w:left w:type="dxa" w:w="100"/>
              <w:bottom w:type="dxa" w:w="50"/>
              <w:right w:type="dxa" w:w="100"/>
            </w:tcMar>
          </w:tcPr>
          <w:p>
            <w:r>
              <w:rPr>
                <w:sz w:val="19"/>
                <w:szCs w:val="19"/>
              </w:rPr>
              <w:t xml:space="preserve">No attendance imported for that period, so full attendance is assumed.</w:t>
            </w:r>
          </w:p>
        </w:tc>
      </w:tr>
    </w:tbl>
    <w:p>
      <w:pPr>
        <w:pStyle w:val="Heading1"/>
        <w:spacing w:after="140" w:before="320"/>
      </w:pPr>
      <w:r>
        <w:rPr>
          <w:b/>
          <w:bCs/>
          <w:color w:val="101A2B"/>
        </w:rPr>
        <w:t xml:space="preserve">Appendix C — Default logins (demo data)</w:t>
      </w:r>
    </w:p>
    <w:p>
      <w:pPr>
        <w:spacing w:after="120"/>
      </w:pPr>
      <w:r>
        <w:rPr>
          <w:sz w:val="21"/>
          <w:szCs w:val="21"/>
        </w:rPr>
        <w:t xml:space="preserve">Created only when SEED_DEMO is on. Remove or change these before going live.</w:t>
      </w:r>
    </w:p>
    <w:tbl>
      <w:tblPr>
        <w:tblW w:type="dxa" w:w="8800"/>
        <w:tblBorders>
          <w:top w:val="single" w:color="D8DEE8" w:sz="4"/>
          <w:left w:val="single" w:color="D8DEE8" w:sz="4"/>
          <w:bottom w:val="single" w:color="D8DEE8" w:sz="4"/>
          <w:right w:val="single" w:color="D8DEE8" w:sz="4"/>
          <w:insideH w:val="single" w:color="D8DEE8" w:sz="4"/>
          <w:insideV w:val="single" w:color="D8DEE8" w:sz="4"/>
        </w:tblBorders>
      </w:tblPr>
      <w:tblGrid>
        <w:gridCol w:w="3400"/>
        <w:gridCol w:w="2400"/>
        <w:gridCol w:w="3000"/>
      </w:tblGrid>
      <w:tr>
        <w:trPr>
          <w:tblHeader/>
        </w:trPr>
        <w:tc>
          <w:tcPr>
            <w:tcW w:type="dxa" w:w="3400"/>
            <w:shd w:fill="101A2B" w:val="clear"/>
            <w:tcMar>
              <w:top w:type="dxa" w:w="60"/>
              <w:left w:type="dxa" w:w="100"/>
              <w:bottom w:type="dxa" w:w="60"/>
              <w:right w:type="dxa" w:w="100"/>
            </w:tcMar>
          </w:tcPr>
          <w:p>
            <w:r>
              <w:rPr>
                <w:b/>
                <w:bCs/>
                <w:color w:val="FFFFFF"/>
                <w:sz w:val="19"/>
                <w:szCs w:val="19"/>
              </w:rPr>
              <w:t xml:space="preserve">Login</w:t>
            </w:r>
          </w:p>
        </w:tc>
        <w:tc>
          <w:tcPr>
            <w:tcW w:type="dxa" w:w="2400"/>
            <w:shd w:fill="101A2B" w:val="clear"/>
            <w:tcMar>
              <w:top w:type="dxa" w:w="60"/>
              <w:left w:type="dxa" w:w="100"/>
              <w:bottom w:type="dxa" w:w="60"/>
              <w:right w:type="dxa" w:w="100"/>
            </w:tcMar>
          </w:tcPr>
          <w:p>
            <w:r>
              <w:rPr>
                <w:b/>
                <w:bCs/>
                <w:color w:val="FFFFFF"/>
                <w:sz w:val="19"/>
                <w:szCs w:val="19"/>
              </w:rPr>
              <w:t xml:space="preserve">Password</w:t>
            </w:r>
          </w:p>
        </w:tc>
        <w:tc>
          <w:tcPr>
            <w:tcW w:type="dxa" w:w="3000"/>
            <w:shd w:fill="101A2B" w:val="clear"/>
            <w:tcMar>
              <w:top w:type="dxa" w:w="60"/>
              <w:left w:type="dxa" w:w="100"/>
              <w:bottom w:type="dxa" w:w="60"/>
              <w:right w:type="dxa" w:w="100"/>
            </w:tcMar>
          </w:tcPr>
          <w:p>
            <w:r>
              <w:rPr>
                <w:b/>
                <w:bCs/>
                <w:color w:val="FFFFFF"/>
                <w:sz w:val="19"/>
                <w:szCs w:val="19"/>
              </w:rPr>
              <w:t xml:space="preserve">Role</w:t>
            </w:r>
          </w:p>
        </w:tc>
      </w:tr>
      <w:tr>
        <w:tc>
          <w:tcPr>
            <w:tcW w:type="dxa" w:w="3400"/>
            <w:tcMar>
              <w:top w:type="dxa" w:w="50"/>
              <w:left w:type="dxa" w:w="100"/>
              <w:bottom w:type="dxa" w:w="50"/>
              <w:right w:type="dxa" w:w="100"/>
            </w:tcMar>
          </w:tcPr>
          <w:p>
            <w:r>
              <w:rPr>
                <w:sz w:val="19"/>
                <w:szCs w:val="19"/>
              </w:rPr>
              <w:t xml:space="preserve">admin@time.eg</w:t>
            </w:r>
          </w:p>
        </w:tc>
        <w:tc>
          <w:tcPr>
            <w:tcW w:type="dxa" w:w="2400"/>
            <w:tcMar>
              <w:top w:type="dxa" w:w="50"/>
              <w:left w:type="dxa" w:w="100"/>
              <w:bottom w:type="dxa" w:w="50"/>
              <w:right w:type="dxa" w:w="100"/>
            </w:tcMar>
          </w:tcPr>
          <w:p>
            <w:r>
              <w:rPr>
                <w:sz w:val="19"/>
                <w:szCs w:val="19"/>
              </w:rPr>
              <w:t xml:space="preserve">Time2026</w:t>
            </w:r>
          </w:p>
        </w:tc>
        <w:tc>
          <w:tcPr>
            <w:tcW w:type="dxa" w:w="3000"/>
            <w:tcMar>
              <w:top w:type="dxa" w:w="50"/>
              <w:left w:type="dxa" w:w="100"/>
              <w:bottom w:type="dxa" w:w="50"/>
              <w:right w:type="dxa" w:w="100"/>
            </w:tcMar>
          </w:tcPr>
          <w:p>
            <w:r>
              <w:rPr>
                <w:sz w:val="19"/>
                <w:szCs w:val="19"/>
              </w:rPr>
              <w:t xml:space="preserve">Administrator</w:t>
            </w:r>
          </w:p>
        </w:tc>
      </w:tr>
      <w:tr>
        <w:tc>
          <w:tcPr>
            <w:tcW w:type="dxa" w:w="3400"/>
            <w:tcMar>
              <w:top w:type="dxa" w:w="50"/>
              <w:left w:type="dxa" w:w="100"/>
              <w:bottom w:type="dxa" w:w="50"/>
              <w:right w:type="dxa" w:w="100"/>
            </w:tcMar>
          </w:tcPr>
          <w:p>
            <w:r>
              <w:rPr>
                <w:sz w:val="19"/>
                <w:szCs w:val="19"/>
              </w:rPr>
              <w:t xml:space="preserve">hr@time.eg</w:t>
            </w:r>
          </w:p>
        </w:tc>
        <w:tc>
          <w:tcPr>
            <w:tcW w:type="dxa" w:w="2400"/>
            <w:tcMar>
              <w:top w:type="dxa" w:w="50"/>
              <w:left w:type="dxa" w:w="100"/>
              <w:bottom w:type="dxa" w:w="50"/>
              <w:right w:type="dxa" w:w="100"/>
            </w:tcMar>
          </w:tcPr>
          <w:p>
            <w:r>
              <w:rPr>
                <w:sz w:val="19"/>
                <w:szCs w:val="19"/>
              </w:rPr>
              <w:t xml:space="preserve">Time2026</w:t>
            </w:r>
          </w:p>
        </w:tc>
        <w:tc>
          <w:tcPr>
            <w:tcW w:type="dxa" w:w="3000"/>
            <w:tcMar>
              <w:top w:type="dxa" w:w="50"/>
              <w:left w:type="dxa" w:w="100"/>
              <w:bottom w:type="dxa" w:w="50"/>
              <w:right w:type="dxa" w:w="100"/>
            </w:tcMar>
          </w:tcPr>
          <w:p>
            <w:r>
              <w:rPr>
                <w:sz w:val="19"/>
                <w:szCs w:val="19"/>
              </w:rPr>
              <w:t xml:space="preserve">HR</w:t>
            </w:r>
          </w:p>
        </w:tc>
      </w:tr>
      <w:tr>
        <w:tc>
          <w:tcPr>
            <w:tcW w:type="dxa" w:w="3400"/>
            <w:tcMar>
              <w:top w:type="dxa" w:w="50"/>
              <w:left w:type="dxa" w:w="100"/>
              <w:bottom w:type="dxa" w:w="50"/>
              <w:right w:type="dxa" w:w="100"/>
            </w:tcMar>
          </w:tcPr>
          <w:p>
            <w:r>
              <w:rPr>
                <w:sz w:val="19"/>
                <w:szCs w:val="19"/>
              </w:rPr>
              <w:t xml:space="preserve">finance@time.eg</w:t>
            </w:r>
          </w:p>
        </w:tc>
        <w:tc>
          <w:tcPr>
            <w:tcW w:type="dxa" w:w="2400"/>
            <w:tcMar>
              <w:top w:type="dxa" w:w="50"/>
              <w:left w:type="dxa" w:w="100"/>
              <w:bottom w:type="dxa" w:w="50"/>
              <w:right w:type="dxa" w:w="100"/>
            </w:tcMar>
          </w:tcPr>
          <w:p>
            <w:r>
              <w:rPr>
                <w:sz w:val="19"/>
                <w:szCs w:val="19"/>
              </w:rPr>
              <w:t xml:space="preserve">Time2026</w:t>
            </w:r>
          </w:p>
        </w:tc>
        <w:tc>
          <w:tcPr>
            <w:tcW w:type="dxa" w:w="3000"/>
            <w:tcMar>
              <w:top w:type="dxa" w:w="50"/>
              <w:left w:type="dxa" w:w="100"/>
              <w:bottom w:type="dxa" w:w="50"/>
              <w:right w:type="dxa" w:w="100"/>
            </w:tcMar>
          </w:tcPr>
          <w:p>
            <w:r>
              <w:rPr>
                <w:sz w:val="19"/>
                <w:szCs w:val="19"/>
              </w:rPr>
              <w:t xml:space="preserve">Finance Manager</w:t>
            </w:r>
          </w:p>
        </w:tc>
      </w:tr>
      <w:tr>
        <w:tc>
          <w:tcPr>
            <w:tcW w:type="dxa" w:w="3400"/>
            <w:tcMar>
              <w:top w:type="dxa" w:w="50"/>
              <w:left w:type="dxa" w:w="100"/>
              <w:bottom w:type="dxa" w:w="50"/>
              <w:right w:type="dxa" w:w="100"/>
            </w:tcMar>
          </w:tcPr>
          <w:p>
            <w:r>
              <w:rPr>
                <w:sz w:val="19"/>
                <w:szCs w:val="19"/>
              </w:rPr>
              <w:t xml:space="preserve">md@time.eg</w:t>
            </w:r>
          </w:p>
        </w:tc>
        <w:tc>
          <w:tcPr>
            <w:tcW w:type="dxa" w:w="2400"/>
            <w:tcMar>
              <w:top w:type="dxa" w:w="50"/>
              <w:left w:type="dxa" w:w="100"/>
              <w:bottom w:type="dxa" w:w="50"/>
              <w:right w:type="dxa" w:w="100"/>
            </w:tcMar>
          </w:tcPr>
          <w:p>
            <w:r>
              <w:rPr>
                <w:sz w:val="19"/>
                <w:szCs w:val="19"/>
              </w:rPr>
              <w:t xml:space="preserve">Time2026</w:t>
            </w:r>
          </w:p>
        </w:tc>
        <w:tc>
          <w:tcPr>
            <w:tcW w:type="dxa" w:w="3000"/>
            <w:tcMar>
              <w:top w:type="dxa" w:w="50"/>
              <w:left w:type="dxa" w:w="100"/>
              <w:bottom w:type="dxa" w:w="50"/>
              <w:right w:type="dxa" w:w="100"/>
            </w:tcMar>
          </w:tcPr>
          <w:p>
            <w:r>
              <w:rPr>
                <w:sz w:val="19"/>
                <w:szCs w:val="19"/>
              </w:rPr>
              <w:t xml:space="preserve">Managing Director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6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A7688"/>
        <w:sz w:val="16"/>
        <w:szCs w:val="16"/>
      </w:rPr>
      <w:t xml:space="preserve">Time — HR &amp; Payroll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2026-09-06T21:50:22.119Z</dcterms:created>
  <dcterms:modified xsi:type="dcterms:W3CDTF">2026-09-06T21:50:22.120Z</dcterms:modified>
</cp:coreProperties>
</file>

<file path=docProps/custom.xml><?xml version="1.0" encoding="utf-8"?>
<Properties xmlns="http://schemas.openxmlformats.org/officeDocument/2006/custom-properties" xmlns:vt="http://schemas.openxmlformats.org/officeDocument/2006/docPropsVTypes"/>
</file>