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E6AF45" w14:textId="0E9EB7E5" w:rsidR="0077694C" w:rsidRDefault="0077694C">
      <w:pPr>
        <w:rPr>
          <w:rFonts w:ascii="Junicode" w:hAnsi="Junicode"/>
          <w:b/>
          <w:bCs/>
          <w:i/>
          <w:iCs/>
        </w:rPr>
      </w:pPr>
      <w:r>
        <w:rPr>
          <w:rFonts w:ascii="Junicode" w:hAnsi="Junicode"/>
          <w:b/>
          <w:bCs/>
        </w:rPr>
        <w:t xml:space="preserve">Exhibition Overview: </w:t>
      </w:r>
      <w:r>
        <w:rPr>
          <w:rFonts w:ascii="Junicode" w:hAnsi="Junicode"/>
          <w:b/>
          <w:bCs/>
          <w:i/>
          <w:iCs/>
        </w:rPr>
        <w:t>From Vine to Vessel</w:t>
      </w:r>
    </w:p>
    <w:p w14:paraId="372310B3" w14:textId="223F6E88" w:rsidR="008174CD" w:rsidRDefault="002C6707" w:rsidP="004279EB">
      <w:pPr>
        <w:spacing w:line="480" w:lineRule="auto"/>
        <w:rPr>
          <w:rFonts w:ascii="Junicode" w:hAnsi="Junicode"/>
          <w:lang w:val="en-US"/>
        </w:rPr>
      </w:pPr>
      <w:r>
        <w:rPr>
          <w:rFonts w:ascii="Junicode" w:hAnsi="Junicode"/>
          <w:i/>
          <w:iCs/>
        </w:rPr>
        <w:t>From Vine to Vessel</w:t>
      </w:r>
      <w:r>
        <w:rPr>
          <w:rFonts w:ascii="Junicode" w:hAnsi="Junicode"/>
        </w:rPr>
        <w:t xml:space="preserve">: </w:t>
      </w:r>
      <w:r>
        <w:rPr>
          <w:rFonts w:ascii="Junicode" w:hAnsi="Junicode"/>
          <w:i/>
          <w:iCs/>
        </w:rPr>
        <w:t>Wine, Ritual and the Art of the Greek Symposium</w:t>
      </w:r>
      <w:r>
        <w:rPr>
          <w:rFonts w:ascii="Junicode" w:hAnsi="Junicode"/>
        </w:rPr>
        <w:t xml:space="preserve"> is an online exhibition</w:t>
      </w:r>
      <w:r w:rsidR="008174CD">
        <w:rPr>
          <w:rFonts w:ascii="Junicode" w:hAnsi="Junicode"/>
        </w:rPr>
        <w:t xml:space="preserve"> that traces wine’s journey through Ancient Greece through the material artefacts that </w:t>
      </w:r>
      <w:proofErr w:type="gramStart"/>
      <w:r w:rsidR="004279EB">
        <w:rPr>
          <w:rFonts w:ascii="Junicode" w:hAnsi="Junicode"/>
        </w:rPr>
        <w:t>survive</w:t>
      </w:r>
      <w:r w:rsidR="00184638">
        <w:rPr>
          <w:rFonts w:ascii="Junicode" w:hAnsi="Junicode"/>
        </w:rPr>
        <w:t>:</w:t>
      </w:r>
      <w:proofErr w:type="gramEnd"/>
      <w:r w:rsidR="008174CD">
        <w:rPr>
          <w:rFonts w:ascii="Junicode" w:hAnsi="Junicode"/>
        </w:rPr>
        <w:t xml:space="preserve"> from the </w:t>
      </w:r>
      <w:r w:rsidR="008174CD" w:rsidRPr="008174CD">
        <w:rPr>
          <w:rFonts w:ascii="Junicode" w:hAnsi="Junicode"/>
          <w:lang w:val="en-US"/>
        </w:rPr>
        <w:t>amphora</w:t>
      </w:r>
      <w:r w:rsidR="008174CD">
        <w:rPr>
          <w:rFonts w:ascii="Junicode" w:hAnsi="Junicode"/>
          <w:lang w:val="en-US"/>
        </w:rPr>
        <w:t>e</w:t>
      </w:r>
      <w:r w:rsidR="008174CD" w:rsidRPr="008174CD">
        <w:rPr>
          <w:rFonts w:ascii="Junicode" w:hAnsi="Junicode"/>
          <w:lang w:val="en-US"/>
        </w:rPr>
        <w:t xml:space="preserve"> used to produce, store, </w:t>
      </w:r>
      <w:r w:rsidR="008174CD">
        <w:rPr>
          <w:rFonts w:ascii="Junicode" w:hAnsi="Junicode"/>
          <w:lang w:val="en-US"/>
        </w:rPr>
        <w:t>transport wine</w:t>
      </w:r>
      <w:r w:rsidR="008174CD" w:rsidRPr="008174CD">
        <w:rPr>
          <w:rFonts w:ascii="Junicode" w:hAnsi="Junicode"/>
          <w:lang w:val="en-US"/>
        </w:rPr>
        <w:t>, to the krater</w:t>
      </w:r>
      <w:r w:rsidR="008174CD">
        <w:rPr>
          <w:rFonts w:ascii="Junicode" w:hAnsi="Junicode"/>
          <w:lang w:val="en-US"/>
        </w:rPr>
        <w:t>s</w:t>
      </w:r>
      <w:r w:rsidR="008174CD" w:rsidRPr="008174CD">
        <w:rPr>
          <w:rFonts w:ascii="Junicode" w:hAnsi="Junicode"/>
          <w:lang w:val="en-US"/>
        </w:rPr>
        <w:t xml:space="preserve"> and </w:t>
      </w:r>
      <w:proofErr w:type="spellStart"/>
      <w:r w:rsidR="008174CD" w:rsidRPr="008174CD">
        <w:rPr>
          <w:rFonts w:ascii="Junicode" w:hAnsi="Junicode"/>
          <w:lang w:val="en-US"/>
        </w:rPr>
        <w:t>kyli</w:t>
      </w:r>
      <w:r w:rsidR="008174CD">
        <w:rPr>
          <w:rFonts w:ascii="Junicode" w:hAnsi="Junicode"/>
          <w:lang w:val="en-US"/>
        </w:rPr>
        <w:t>ke</w:t>
      </w:r>
      <w:proofErr w:type="spellEnd"/>
      <w:r w:rsidR="008174CD" w:rsidRPr="008174CD">
        <w:rPr>
          <w:rFonts w:ascii="Junicode" w:hAnsi="Junicode"/>
          <w:lang w:val="en-US"/>
        </w:rPr>
        <w:t xml:space="preserve"> at the heart of the symposium.</w:t>
      </w:r>
      <w:r w:rsidR="008174CD">
        <w:rPr>
          <w:rFonts w:ascii="Junicode" w:hAnsi="Junicode"/>
          <w:lang w:val="en-US"/>
        </w:rPr>
        <w:t xml:space="preserve"> Rather than a sole focus on consumption culture, the exhibition takes a holistic approach, situating the symposium within the broader networks of agricultural production and trade that made wine central to ancient Greek economic and social life.</w:t>
      </w:r>
    </w:p>
    <w:p w14:paraId="114EAEA5" w14:textId="128EB434" w:rsidR="00372958" w:rsidRDefault="00372958" w:rsidP="00372958">
      <w:pPr>
        <w:spacing w:line="480" w:lineRule="auto"/>
        <w:ind w:firstLine="720"/>
        <w:rPr>
          <w:rFonts w:ascii="Junicode" w:hAnsi="Junicode"/>
          <w:lang w:val="en-US"/>
        </w:rPr>
      </w:pPr>
      <w:r>
        <w:rPr>
          <w:rFonts w:ascii="Junicode" w:hAnsi="Junicode"/>
          <w:lang w:val="en-US"/>
        </w:rPr>
        <w:t xml:space="preserve">Academically, </w:t>
      </w:r>
      <w:r>
        <w:rPr>
          <w:rFonts w:ascii="Junicode" w:hAnsi="Junicode"/>
          <w:i/>
          <w:iCs/>
          <w:lang w:val="en-US"/>
        </w:rPr>
        <w:t xml:space="preserve">From Vine to Vessel </w:t>
      </w:r>
      <w:r>
        <w:rPr>
          <w:rFonts w:ascii="Junicode" w:hAnsi="Junicode"/>
          <w:lang w:val="en-US"/>
        </w:rPr>
        <w:t>situates itself within a recent productive turn in classical studies away from the symposium as the privileged frame for understanding wine culture in ancient Greece. Scholarship has increasingly drawn attention to the limitations of this centering, which is rooted in a long tradition of connoisseurship focused on figured pottery from the andron. It leaves a substantial dimension of Greek wine culture underexplored: among them women’s ritual participation, the experience of children and non-elite drinker, and the agricultural and commercial systems that made wine available in the first place. Recent work in feminist economic history has begun to address this gap, demonstrating that women’s economic and ritual activity was actively devalued by both ancient sources and modern scholarship, producing a distorted picture of who participated in wine culture and how. This exhibition takes that corrective impulse into curatorial practice.</w:t>
      </w:r>
    </w:p>
    <w:p w14:paraId="01DBA68D" w14:textId="6121E844" w:rsidR="004279EB" w:rsidRPr="00372958" w:rsidRDefault="00372958" w:rsidP="00372958">
      <w:pPr>
        <w:spacing w:line="480" w:lineRule="auto"/>
        <w:ind w:firstLine="720"/>
        <w:rPr>
          <w:rFonts w:ascii="Junicode" w:hAnsi="Junicode"/>
          <w:lang w:val="en-US"/>
        </w:rPr>
      </w:pPr>
      <w:r>
        <w:rPr>
          <w:rFonts w:ascii="Junicode" w:hAnsi="Junicode"/>
          <w:lang w:val="en-US"/>
        </w:rPr>
        <w:t xml:space="preserve">The exhibition also speaks to a contemporary moment. The revival of </w:t>
      </w:r>
      <w:r w:rsidR="00BF78B5">
        <w:rPr>
          <w:rFonts w:ascii="Junicode" w:hAnsi="Junicode"/>
          <w:lang w:val="en-US"/>
        </w:rPr>
        <w:t xml:space="preserve">amphora winemaking and the natural wine movement have generated considerable popular and </w:t>
      </w:r>
      <w:r>
        <w:rPr>
          <w:rFonts w:ascii="Junicode" w:hAnsi="Junicode"/>
          <w:lang w:val="en-US"/>
        </w:rPr>
        <w:t>academic</w:t>
      </w:r>
      <w:r w:rsidR="00BF78B5">
        <w:rPr>
          <w:rFonts w:ascii="Junicode" w:hAnsi="Junicode"/>
          <w:lang w:val="en-US"/>
        </w:rPr>
        <w:t xml:space="preserve"> </w:t>
      </w:r>
      <w:r>
        <w:rPr>
          <w:rFonts w:ascii="Junicode" w:hAnsi="Junicode"/>
          <w:lang w:val="en-US"/>
        </w:rPr>
        <w:t>interest in ancient viticulture</w:t>
      </w:r>
      <w:r w:rsidR="00BF78B5">
        <w:rPr>
          <w:rFonts w:ascii="Junicode" w:hAnsi="Junicode"/>
          <w:lang w:val="en-US"/>
        </w:rPr>
        <w:t>.</w:t>
      </w:r>
      <w:r w:rsidR="00D0400E">
        <w:rPr>
          <w:rStyle w:val="FootnoteReference"/>
          <w:rFonts w:ascii="Junicode" w:hAnsi="Junicode"/>
          <w:lang w:val="en-US"/>
        </w:rPr>
        <w:footnoteReference w:id="1"/>
      </w:r>
      <w:r w:rsidR="00BF78B5">
        <w:rPr>
          <w:rFonts w:ascii="Junicode" w:hAnsi="Junicode"/>
          <w:lang w:val="en-US"/>
        </w:rPr>
        <w:t xml:space="preserve"> </w:t>
      </w:r>
      <w:r>
        <w:rPr>
          <w:rFonts w:ascii="Junicode" w:hAnsi="Junicode"/>
          <w:lang w:val="en-US"/>
        </w:rPr>
        <w:t xml:space="preserve">Additionally, recent scholarship on Mediterranean trade networks </w:t>
      </w:r>
      <w:r>
        <w:rPr>
          <w:rFonts w:ascii="Junicode" w:hAnsi="Junicode"/>
          <w:lang w:val="en-US"/>
        </w:rPr>
        <w:lastRenderedPageBreak/>
        <w:t>and study of viticulture also have reframed the transport amphora (long treated as an ancillary object) as central evidence for understanding the scale and structure of ancient economies</w:t>
      </w:r>
      <w:r w:rsidR="00BF78B5">
        <w:rPr>
          <w:rFonts w:ascii="Junicode" w:hAnsi="Junicode"/>
          <w:lang w:val="en-US"/>
        </w:rPr>
        <w:t>.</w:t>
      </w:r>
      <w:r w:rsidR="00D573DE">
        <w:rPr>
          <w:rStyle w:val="FootnoteReference"/>
          <w:rFonts w:ascii="Junicode" w:hAnsi="Junicode"/>
          <w:lang w:val="en-US"/>
        </w:rPr>
        <w:footnoteReference w:id="2"/>
      </w:r>
      <w:r w:rsidR="00BF78B5">
        <w:rPr>
          <w:rFonts w:ascii="Junicode" w:hAnsi="Junicode"/>
          <w:lang w:val="en-US"/>
        </w:rPr>
        <w:t xml:space="preserve"> </w:t>
      </w:r>
      <w:r>
        <w:rPr>
          <w:rFonts w:ascii="Junicode" w:hAnsi="Junicode"/>
          <w:i/>
          <w:iCs/>
          <w:lang w:val="en-US"/>
        </w:rPr>
        <w:t xml:space="preserve">From Vine to Vessel </w:t>
      </w:r>
      <w:r>
        <w:rPr>
          <w:rFonts w:ascii="Junicode" w:hAnsi="Junicode"/>
          <w:lang w:val="en-US"/>
        </w:rPr>
        <w:t>brings these scholarly and popular currents together, making the case that the material culture of wine offers an accessible and intellectually rich entry point into the complexities of ancient Greek life.</w:t>
      </w:r>
    </w:p>
    <w:p w14:paraId="5622F29C" w14:textId="5E0380B0" w:rsidR="00614F06" w:rsidRDefault="00184638" w:rsidP="00184638">
      <w:pPr>
        <w:spacing w:line="480" w:lineRule="auto"/>
        <w:ind w:firstLine="720"/>
        <w:rPr>
          <w:rFonts w:ascii="Junicode" w:hAnsi="Junicode"/>
          <w:lang w:val="en-US"/>
        </w:rPr>
      </w:pPr>
      <w:r>
        <w:rPr>
          <w:rFonts w:ascii="Junicode" w:hAnsi="Junicode"/>
          <w:lang w:val="en-US"/>
        </w:rPr>
        <w:t>The exhibition comprises 13 objects organized into four distinct narrative acts.</w:t>
      </w:r>
      <w:r w:rsidR="00D573DE">
        <w:rPr>
          <w:rFonts w:ascii="Junicode" w:hAnsi="Junicode"/>
          <w:lang w:val="en-US"/>
        </w:rPr>
        <w:t xml:space="preserve"> The first act,</w:t>
      </w:r>
      <w:r w:rsidR="00D573DE">
        <w:rPr>
          <w:rFonts w:ascii="Junicode" w:hAnsi="Junicode"/>
          <w:i/>
          <w:iCs/>
          <w:lang w:val="en-US"/>
        </w:rPr>
        <w:t xml:space="preserve"> The Vine and the God</w:t>
      </w:r>
      <w:r w:rsidR="00D573DE">
        <w:rPr>
          <w:rFonts w:ascii="Junicode" w:hAnsi="Junicode"/>
          <w:lang w:val="en-US"/>
        </w:rPr>
        <w:t xml:space="preserve">, introduces wine at its origins, drawing from both myth and material process to establish wine’s cultural and agricultural foundations. The second, </w:t>
      </w:r>
      <w:r w:rsidR="00D573DE">
        <w:rPr>
          <w:rFonts w:ascii="Junicode" w:hAnsi="Junicode"/>
          <w:i/>
          <w:iCs/>
          <w:lang w:val="en-US"/>
        </w:rPr>
        <w:t>From Vessel to Vessel</w:t>
      </w:r>
      <w:r w:rsidR="00D573DE">
        <w:rPr>
          <w:rFonts w:ascii="Junicode" w:hAnsi="Junicode"/>
          <w:lang w:val="en-US"/>
        </w:rPr>
        <w:t xml:space="preserve">, follows wine into motion, tracing the networks and logistical systems that moved it across the Ancient Mediterranean. The third act, </w:t>
      </w:r>
      <w:r w:rsidR="00D573DE">
        <w:rPr>
          <w:rFonts w:ascii="Junicode" w:hAnsi="Junicode"/>
          <w:i/>
          <w:iCs/>
          <w:lang w:val="en-US"/>
        </w:rPr>
        <w:t>The Symposium</w:t>
      </w:r>
      <w:r w:rsidR="00D573DE">
        <w:rPr>
          <w:rFonts w:ascii="Junicode" w:hAnsi="Junicode"/>
          <w:lang w:val="en-US"/>
        </w:rPr>
        <w:t xml:space="preserve">, arrives at the symposium itself, exploring the ritualized drinking party that has long dominated scholarly and popular understandings of Greek wine culture. The final act, </w:t>
      </w:r>
      <w:r w:rsidR="00D573DE">
        <w:rPr>
          <w:rFonts w:ascii="Junicode" w:hAnsi="Junicode"/>
          <w:i/>
          <w:iCs/>
          <w:lang w:val="en-US"/>
        </w:rPr>
        <w:t>Wine, Festivals, and the Dead</w:t>
      </w:r>
      <w:r w:rsidR="00D573DE">
        <w:rPr>
          <w:rFonts w:ascii="Junicode" w:hAnsi="Junicode"/>
          <w:lang w:val="en-US"/>
        </w:rPr>
        <w:t xml:space="preserve"> examines wine’s role in civic festivals and everyday life, complicating the assumption that wine in Ancient Greece was the exclusive domain of elite men at the symposium table.</w:t>
      </w:r>
    </w:p>
    <w:p w14:paraId="472C6CDC" w14:textId="13E8496B" w:rsidR="007A136D" w:rsidRPr="00372958" w:rsidRDefault="00372958" w:rsidP="007A136D">
      <w:pPr>
        <w:spacing w:line="480" w:lineRule="auto"/>
        <w:ind w:firstLine="720"/>
        <w:rPr>
          <w:rFonts w:ascii="Junicode" w:hAnsi="Junicode"/>
          <w:lang w:val="en-US"/>
        </w:rPr>
      </w:pPr>
      <w:r>
        <w:rPr>
          <w:rFonts w:ascii="Junicode" w:hAnsi="Junicode"/>
          <w:lang w:val="en-US"/>
        </w:rPr>
        <w:t xml:space="preserve">The online format of this exhibition has a significant accessibility dimension: by removing barriers of geography, cost and physical mobility, the exhibition makes ancient Greek </w:t>
      </w:r>
      <w:r>
        <w:rPr>
          <w:rFonts w:ascii="Junicode" w:hAnsi="Junicode"/>
          <w:lang w:val="en-US"/>
        </w:rPr>
        <w:lastRenderedPageBreak/>
        <w:t>material culture available to a broader audience who may not be able to encounter these objects otherwise. Recent scholarship in museum studies argue that the digital exhibitions space, when thoughtfully designed, can be a distinct environment with its own affordances for visitor engagement and learning.</w:t>
      </w:r>
      <w:r w:rsidR="007A136D">
        <w:rPr>
          <w:rStyle w:val="FootnoteReference"/>
          <w:rFonts w:ascii="Junicode" w:hAnsi="Junicode"/>
          <w:lang w:val="en-US"/>
        </w:rPr>
        <w:footnoteReference w:id="3"/>
      </w:r>
      <w:r>
        <w:rPr>
          <w:rFonts w:ascii="Junicode" w:hAnsi="Junicode"/>
          <w:lang w:val="en-US"/>
        </w:rPr>
        <w:t xml:space="preserve"> </w:t>
      </w:r>
      <w:r>
        <w:rPr>
          <w:rFonts w:ascii="Junicode" w:hAnsi="Junicode"/>
          <w:i/>
          <w:iCs/>
          <w:lang w:val="en-US"/>
        </w:rPr>
        <w:t xml:space="preserve">From Vine to </w:t>
      </w:r>
      <w:r w:rsidR="007A136D">
        <w:rPr>
          <w:rFonts w:ascii="Junicode" w:hAnsi="Junicode"/>
          <w:i/>
          <w:iCs/>
          <w:lang w:val="en-US"/>
        </w:rPr>
        <w:t>Vessel</w:t>
      </w:r>
      <w:r>
        <w:rPr>
          <w:rFonts w:ascii="Junicode" w:hAnsi="Junicode"/>
          <w:i/>
          <w:iCs/>
          <w:lang w:val="en-US"/>
        </w:rPr>
        <w:t xml:space="preserve"> </w:t>
      </w:r>
      <w:r>
        <w:rPr>
          <w:rFonts w:ascii="Junicode" w:hAnsi="Junicode"/>
          <w:lang w:val="en-US"/>
        </w:rPr>
        <w:t xml:space="preserve">attempts to take </w:t>
      </w:r>
      <w:r w:rsidR="007A136D">
        <w:rPr>
          <w:rFonts w:ascii="Junicode" w:hAnsi="Junicode"/>
          <w:lang w:val="en-US"/>
        </w:rPr>
        <w:t>this</w:t>
      </w:r>
      <w:r>
        <w:rPr>
          <w:rFonts w:ascii="Junicode" w:hAnsi="Junicode"/>
          <w:lang w:val="en-US"/>
        </w:rPr>
        <w:t xml:space="preserve"> seriously. Alongside object and section labels, the exhibition integrates </w:t>
      </w:r>
      <w:r w:rsidR="007A136D">
        <w:rPr>
          <w:rFonts w:ascii="Junicode" w:hAnsi="Junicode"/>
          <w:lang w:val="en-US"/>
        </w:rPr>
        <w:t>interactive games, a “compare” function, and image hover features that surface additional details on demand. Research on gamification in museum contexts has shown that interactive elements significantly improve knowledge retention and motivation across all age groups, including younger and family audiences. The narrative structure of the four acts provides a through-line for visitors who wish to follow the exhibition sequentially, while the embedded interactive features create optional points of engagement for those who wish to go further, a model of what Nina Simon has called the “participatory museum”, in which the exhibition is not a fixed transmission of knowledge but a space that accommodates multiple modes of engagement.</w:t>
      </w:r>
      <w:r w:rsidR="007A136D">
        <w:rPr>
          <w:rStyle w:val="FootnoteReference"/>
          <w:rFonts w:ascii="Junicode" w:hAnsi="Junicode"/>
          <w:lang w:val="en-US"/>
        </w:rPr>
        <w:footnoteReference w:id="4"/>
      </w:r>
    </w:p>
    <w:p w14:paraId="541B768B" w14:textId="09FD8E37" w:rsidR="00184638" w:rsidRPr="00255E4A" w:rsidRDefault="00D0400E" w:rsidP="00D573DE">
      <w:pPr>
        <w:spacing w:line="480" w:lineRule="auto"/>
        <w:rPr>
          <w:rFonts w:ascii="Junicode" w:hAnsi="Junicode"/>
          <w:lang w:val="en-US"/>
        </w:rPr>
      </w:pPr>
      <w:r>
        <w:rPr>
          <w:rFonts w:ascii="Junicode" w:hAnsi="Junicode"/>
          <w:lang w:val="en-US"/>
        </w:rPr>
        <w:tab/>
      </w:r>
    </w:p>
    <w:sectPr w:rsidR="00184638" w:rsidRPr="00255E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BA97BF" w14:textId="77777777" w:rsidR="00325B49" w:rsidRDefault="00325B49" w:rsidP="00D573DE">
      <w:pPr>
        <w:spacing w:after="0" w:line="240" w:lineRule="auto"/>
      </w:pPr>
      <w:r>
        <w:separator/>
      </w:r>
    </w:p>
  </w:endnote>
  <w:endnote w:type="continuationSeparator" w:id="0">
    <w:p w14:paraId="7E321116" w14:textId="77777777" w:rsidR="00325B49" w:rsidRDefault="00325B49" w:rsidP="00D57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Junicode">
    <w:panose1 w:val="00000500000000000000"/>
    <w:charset w:val="4D"/>
    <w:family w:val="auto"/>
    <w:pitch w:val="variable"/>
    <w:sig w:usb0="A000007F" w:usb1="00000410" w:usb2="00408000" w:usb3="00000000" w:csb0="00000193"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973C9" w14:textId="77777777" w:rsidR="00325B49" w:rsidRDefault="00325B49" w:rsidP="00D573DE">
      <w:pPr>
        <w:spacing w:after="0" w:line="240" w:lineRule="auto"/>
      </w:pPr>
      <w:r>
        <w:separator/>
      </w:r>
    </w:p>
  </w:footnote>
  <w:footnote w:type="continuationSeparator" w:id="0">
    <w:p w14:paraId="6A2D9B94" w14:textId="77777777" w:rsidR="00325B49" w:rsidRDefault="00325B49" w:rsidP="00D573DE">
      <w:pPr>
        <w:spacing w:after="0" w:line="240" w:lineRule="auto"/>
      </w:pPr>
      <w:r>
        <w:continuationSeparator/>
      </w:r>
    </w:p>
  </w:footnote>
  <w:footnote w:id="1">
    <w:p w14:paraId="48D8C1D9" w14:textId="6340B4D8" w:rsidR="00D0400E" w:rsidRPr="00D0400E" w:rsidRDefault="00D0400E">
      <w:pPr>
        <w:pStyle w:val="FootnoteText"/>
        <w:rPr>
          <w:lang w:val="en-US"/>
        </w:rPr>
      </w:pPr>
      <w:r>
        <w:rPr>
          <w:rStyle w:val="FootnoteReference"/>
        </w:rPr>
        <w:footnoteRef/>
      </w:r>
      <w:r>
        <w:t xml:space="preserve"> </w:t>
      </w:r>
      <w:r w:rsidRPr="00D0400E">
        <w:rPr>
          <w:rFonts w:ascii="Junicode" w:hAnsi="Junicode"/>
          <w:lang w:val="en-US"/>
        </w:rPr>
        <w:t xml:space="preserve">Cathrine Todd, "Award-Winning Rising Wine Star Making Spectacular Wines Using Ancient Ways," </w:t>
      </w:r>
      <w:r w:rsidRPr="00D0400E">
        <w:rPr>
          <w:rFonts w:ascii="Junicode" w:hAnsi="Junicode"/>
          <w:i/>
          <w:iCs/>
          <w:lang w:val="en-US"/>
        </w:rPr>
        <w:t>Forbes</w:t>
      </w:r>
      <w:r w:rsidRPr="00D0400E">
        <w:rPr>
          <w:rFonts w:ascii="Junicode" w:hAnsi="Junicode"/>
          <w:lang w:val="en-US"/>
        </w:rPr>
        <w:t xml:space="preserve">, October 28, 2025, </w:t>
      </w:r>
      <w:hyperlink r:id="rId1" w:tgtFrame="_blank" w:history="1">
        <w:r w:rsidRPr="00D0400E">
          <w:rPr>
            <w:rStyle w:val="Hyperlink"/>
            <w:rFonts w:ascii="Junicode" w:hAnsi="Junicode"/>
            <w:lang w:val="en-US"/>
          </w:rPr>
          <w:t>https://www.forbes.com/sites/cathrinetodd/2025/10/28/award-winning-rising-wine-star-making-spectacular-wines-using-ancient-ways/</w:t>
        </w:r>
      </w:hyperlink>
      <w:r w:rsidRPr="00D0400E">
        <w:rPr>
          <w:rFonts w:ascii="Junicode" w:hAnsi="Junicode"/>
          <w:lang w:val="en-US"/>
        </w:rPr>
        <w:t xml:space="preserve">; W. Blake Gray, "The Rebirth of Amphora Wine: How Clay Vessels Are Adding Purity to Modern Winemaking," </w:t>
      </w:r>
      <w:r w:rsidRPr="00D0400E">
        <w:rPr>
          <w:rFonts w:ascii="Junicode" w:hAnsi="Junicode"/>
          <w:i/>
          <w:iCs/>
          <w:lang w:val="en-US"/>
        </w:rPr>
        <w:t>Grape and Wine Magazine</w:t>
      </w:r>
      <w:r w:rsidRPr="00D0400E">
        <w:rPr>
          <w:rFonts w:ascii="Junicode" w:hAnsi="Junicode"/>
          <w:lang w:val="en-US"/>
        </w:rPr>
        <w:t xml:space="preserve">, October 9, 2025, </w:t>
      </w:r>
      <w:hyperlink r:id="rId2" w:tgtFrame="_blank" w:history="1">
        <w:r w:rsidRPr="00D0400E">
          <w:rPr>
            <w:rStyle w:val="Hyperlink"/>
            <w:rFonts w:ascii="Junicode" w:hAnsi="Junicode"/>
            <w:lang w:val="en-US"/>
          </w:rPr>
          <w:t xml:space="preserve">https://grapeandwinemag.com/2025/10/09/the-rebirth-of-amphora-wine-how-clay-vessels-are-adding-purity-to-modern-winemaking/.; </w:t>
        </w:r>
      </w:hyperlink>
      <w:r w:rsidRPr="00D0400E">
        <w:rPr>
          <w:rFonts w:ascii="Junicode" w:hAnsi="Junicode"/>
          <w:lang w:val="en-US"/>
        </w:rPr>
        <w:t>.</w:t>
      </w:r>
    </w:p>
  </w:footnote>
  <w:footnote w:id="2">
    <w:p w14:paraId="3B2076C4" w14:textId="77777777" w:rsidR="00D0400E" w:rsidRPr="00D0400E" w:rsidRDefault="00D573DE" w:rsidP="00D0400E">
      <w:pPr>
        <w:pStyle w:val="FootnoteText"/>
        <w:rPr>
          <w:rFonts w:ascii="Junicode" w:hAnsi="Junicode"/>
          <w:lang w:val="en-CA"/>
        </w:rPr>
      </w:pPr>
      <w:r>
        <w:rPr>
          <w:rStyle w:val="FootnoteReference"/>
        </w:rPr>
        <w:footnoteRef/>
      </w:r>
      <w:r>
        <w:t xml:space="preserve"> </w:t>
      </w:r>
      <w:r w:rsidRPr="00D573DE">
        <w:rPr>
          <w:rFonts w:ascii="Junicode" w:hAnsi="Junicode"/>
          <w:lang w:val="en-CA"/>
        </w:rPr>
        <w:t xml:space="preserve">Harutyunyan, M., &amp; </w:t>
      </w:r>
      <w:proofErr w:type="spellStart"/>
      <w:r w:rsidRPr="00D573DE">
        <w:rPr>
          <w:rFonts w:ascii="Junicode" w:hAnsi="Junicode"/>
          <w:lang w:val="en-CA"/>
        </w:rPr>
        <w:t>Malfeito</w:t>
      </w:r>
      <w:proofErr w:type="spellEnd"/>
      <w:r w:rsidRPr="00D573DE">
        <w:rPr>
          <w:rFonts w:ascii="Junicode" w:hAnsi="Junicode"/>
          <w:lang w:val="en-CA"/>
        </w:rPr>
        <w:t xml:space="preserve">-Ferreira, M. (2022). The Rise of Wine among Ancient Civilizations across the Mediterranean Basin. </w:t>
      </w:r>
      <w:r w:rsidRPr="00D573DE">
        <w:rPr>
          <w:rFonts w:ascii="Junicode" w:hAnsi="Junicode"/>
          <w:i/>
          <w:iCs/>
          <w:lang w:val="en-CA"/>
        </w:rPr>
        <w:t>Heritage</w:t>
      </w:r>
      <w:r w:rsidRPr="00D573DE">
        <w:rPr>
          <w:rFonts w:ascii="Junicode" w:hAnsi="Junicode"/>
          <w:lang w:val="en-CA"/>
        </w:rPr>
        <w:t xml:space="preserve">, </w:t>
      </w:r>
      <w:r w:rsidRPr="00D573DE">
        <w:rPr>
          <w:rFonts w:ascii="Junicode" w:hAnsi="Junicode"/>
          <w:i/>
          <w:iCs/>
          <w:lang w:val="en-CA"/>
        </w:rPr>
        <w:t>5</w:t>
      </w:r>
      <w:r w:rsidRPr="00D573DE">
        <w:rPr>
          <w:rFonts w:ascii="Junicode" w:hAnsi="Junicode"/>
          <w:lang w:val="en-CA"/>
        </w:rPr>
        <w:t xml:space="preserve">(2), 788–812. </w:t>
      </w:r>
      <w:hyperlink r:id="rId3" w:history="1">
        <w:r w:rsidR="00D0400E" w:rsidRPr="003C4EBD">
          <w:rPr>
            <w:rStyle w:val="Hyperlink"/>
            <w:rFonts w:ascii="Junicode" w:hAnsi="Junicode"/>
            <w:lang w:val="en-CA"/>
          </w:rPr>
          <w:t>https://doi.org/10.3390/heritage5020043</w:t>
        </w:r>
      </w:hyperlink>
      <w:r w:rsidR="00D0400E">
        <w:rPr>
          <w:rFonts w:ascii="Junicode" w:hAnsi="Junicode"/>
          <w:lang w:val="en-CA"/>
        </w:rPr>
        <w:t xml:space="preserve">; </w:t>
      </w:r>
      <w:r w:rsidR="00D0400E" w:rsidRPr="00D573DE">
        <w:rPr>
          <w:rFonts w:ascii="Junicode" w:hAnsi="Junicode"/>
          <w:lang w:val="en-CA"/>
        </w:rPr>
        <w:t xml:space="preserve">Pratt, Catherine E. </w:t>
      </w:r>
      <w:r w:rsidR="00D0400E" w:rsidRPr="00D573DE">
        <w:rPr>
          <w:rFonts w:ascii="Junicode" w:hAnsi="Junicode"/>
          <w:i/>
          <w:iCs/>
          <w:lang w:val="en-CA"/>
        </w:rPr>
        <w:t xml:space="preserve">Oil, Wine, and the Cultural Economy of Ancient </w:t>
      </w:r>
      <w:proofErr w:type="gramStart"/>
      <w:r w:rsidR="00D0400E" w:rsidRPr="00D573DE">
        <w:rPr>
          <w:rFonts w:ascii="Junicode" w:hAnsi="Junicode"/>
          <w:i/>
          <w:iCs/>
          <w:lang w:val="en-CA"/>
        </w:rPr>
        <w:t>Greece</w:t>
      </w:r>
      <w:r w:rsidR="00D0400E" w:rsidRPr="00D573DE">
        <w:rPr>
          <w:rFonts w:ascii="Junicode" w:hAnsi="Junicode" w:cs="Arial"/>
          <w:i/>
          <w:iCs/>
          <w:lang w:val="en-CA"/>
        </w:rPr>
        <w:t> </w:t>
      </w:r>
      <w:r w:rsidR="00D0400E" w:rsidRPr="00D573DE">
        <w:rPr>
          <w:rFonts w:ascii="Junicode" w:hAnsi="Junicode"/>
          <w:i/>
          <w:iCs/>
          <w:lang w:val="en-CA"/>
        </w:rPr>
        <w:t>:</w:t>
      </w:r>
      <w:proofErr w:type="gramEnd"/>
      <w:r w:rsidR="00D0400E" w:rsidRPr="00D573DE">
        <w:rPr>
          <w:rFonts w:ascii="Junicode" w:hAnsi="Junicode"/>
          <w:i/>
          <w:iCs/>
          <w:lang w:val="en-CA"/>
        </w:rPr>
        <w:t xml:space="preserve"> From the Bronze Age to the Archaic Era</w:t>
      </w:r>
      <w:r w:rsidR="00D0400E" w:rsidRPr="00D573DE">
        <w:rPr>
          <w:rFonts w:ascii="Junicode" w:hAnsi="Junicode"/>
          <w:lang w:val="en-CA"/>
        </w:rPr>
        <w:t>. Cambridge University Press, 2021</w:t>
      </w:r>
      <w:r w:rsidR="00D0400E">
        <w:rPr>
          <w:rFonts w:ascii="Junicode" w:hAnsi="Junicode"/>
          <w:lang w:val="en-CA"/>
        </w:rPr>
        <w:t xml:space="preserve">; </w:t>
      </w:r>
      <w:proofErr w:type="spellStart"/>
      <w:r w:rsidR="00D0400E" w:rsidRPr="00D0400E">
        <w:rPr>
          <w:rFonts w:ascii="Junicode" w:hAnsi="Junicode"/>
          <w:lang w:val="en-CA"/>
        </w:rPr>
        <w:t>Ucchesu</w:t>
      </w:r>
      <w:proofErr w:type="spellEnd"/>
      <w:r w:rsidR="00D0400E" w:rsidRPr="00D0400E">
        <w:rPr>
          <w:rFonts w:ascii="Junicode" w:hAnsi="Junicode"/>
          <w:lang w:val="en-CA"/>
        </w:rPr>
        <w:t xml:space="preserve">, Mariano, Sarah </w:t>
      </w:r>
      <w:proofErr w:type="spellStart"/>
      <w:r w:rsidR="00D0400E" w:rsidRPr="00D0400E">
        <w:rPr>
          <w:rFonts w:ascii="Junicode" w:hAnsi="Junicode"/>
          <w:lang w:val="en-CA"/>
        </w:rPr>
        <w:t>Ivorra</w:t>
      </w:r>
      <w:proofErr w:type="spellEnd"/>
      <w:r w:rsidR="00D0400E" w:rsidRPr="00D0400E">
        <w:rPr>
          <w:rFonts w:ascii="Junicode" w:hAnsi="Junicode"/>
          <w:lang w:val="en-CA"/>
        </w:rPr>
        <w:t xml:space="preserve">, Vincent Bonhomme, et al. “Tracing the Emergence of Domesticated Grapevine in Italy.” </w:t>
      </w:r>
      <w:proofErr w:type="spellStart"/>
      <w:r w:rsidR="00D0400E" w:rsidRPr="00D0400E">
        <w:rPr>
          <w:rFonts w:ascii="Junicode" w:hAnsi="Junicode"/>
          <w:i/>
          <w:iCs/>
          <w:lang w:val="en-CA"/>
        </w:rPr>
        <w:t>PloS</w:t>
      </w:r>
      <w:proofErr w:type="spellEnd"/>
      <w:r w:rsidR="00D0400E" w:rsidRPr="00D0400E">
        <w:rPr>
          <w:rFonts w:ascii="Junicode" w:hAnsi="Junicode"/>
          <w:i/>
          <w:iCs/>
          <w:lang w:val="en-CA"/>
        </w:rPr>
        <w:t xml:space="preserve"> One</w:t>
      </w:r>
      <w:r w:rsidR="00D0400E" w:rsidRPr="00D0400E">
        <w:rPr>
          <w:rFonts w:ascii="Junicode" w:hAnsi="Junicode"/>
          <w:lang w:val="en-CA"/>
        </w:rPr>
        <w:t xml:space="preserve"> (SAN FRANCISCO) 20, no. 4 (2025): e0321653. https://doi.org/10.1371/journal.pone.0321653.</w:t>
      </w:r>
    </w:p>
    <w:p w14:paraId="52228682" w14:textId="6779128B" w:rsidR="00D573DE" w:rsidRPr="00D573DE" w:rsidRDefault="00D573DE" w:rsidP="00D573DE">
      <w:pPr>
        <w:pStyle w:val="FootnoteText"/>
        <w:rPr>
          <w:rFonts w:ascii="Junicode" w:hAnsi="Junicode"/>
          <w:lang w:val="en-CA"/>
        </w:rPr>
      </w:pPr>
    </w:p>
    <w:p w14:paraId="6BAA4378" w14:textId="118EF8CE" w:rsidR="00D573DE" w:rsidRPr="00D573DE" w:rsidRDefault="00D573DE" w:rsidP="00D573DE">
      <w:pPr>
        <w:pStyle w:val="FootnoteText"/>
        <w:rPr>
          <w:rFonts w:ascii="Junicode" w:hAnsi="Junicode"/>
          <w:lang w:val="en-CA"/>
        </w:rPr>
      </w:pPr>
    </w:p>
    <w:p w14:paraId="18C62BB8" w14:textId="5C45195E" w:rsidR="00D573DE" w:rsidRPr="00D573DE" w:rsidRDefault="00D573DE">
      <w:pPr>
        <w:pStyle w:val="FootnoteText"/>
        <w:rPr>
          <w:lang w:val="en-US"/>
        </w:rPr>
      </w:pPr>
    </w:p>
  </w:footnote>
  <w:footnote w:id="3">
    <w:p w14:paraId="51553CB3" w14:textId="3244F178" w:rsidR="007A136D" w:rsidRPr="007A136D" w:rsidRDefault="007A136D">
      <w:pPr>
        <w:pStyle w:val="FootnoteText"/>
        <w:rPr>
          <w:rFonts w:ascii="Junicode" w:hAnsi="Junicode"/>
          <w:lang w:val="en-CA"/>
        </w:rPr>
      </w:pPr>
      <w:r w:rsidRPr="007A136D">
        <w:rPr>
          <w:rStyle w:val="FootnoteReference"/>
          <w:rFonts w:ascii="Junicode" w:hAnsi="Junicode"/>
        </w:rPr>
        <w:footnoteRef/>
      </w:r>
      <w:r w:rsidRPr="007A136D">
        <w:rPr>
          <w:rFonts w:ascii="Junicode" w:hAnsi="Junicode"/>
        </w:rPr>
        <w:t xml:space="preserve"> </w:t>
      </w:r>
      <w:r w:rsidRPr="007A136D">
        <w:rPr>
          <w:rFonts w:ascii="Junicode" w:hAnsi="Junicode"/>
          <w:lang w:val="en-CA"/>
        </w:rPr>
        <w:t xml:space="preserve">Li, Jingjing, </w:t>
      </w:r>
      <w:proofErr w:type="spellStart"/>
      <w:r w:rsidRPr="007A136D">
        <w:rPr>
          <w:rFonts w:ascii="Junicode" w:hAnsi="Junicode"/>
          <w:lang w:val="en-CA"/>
        </w:rPr>
        <w:t>Xiaoyang</w:t>
      </w:r>
      <w:proofErr w:type="spellEnd"/>
      <w:r w:rsidRPr="007A136D">
        <w:rPr>
          <w:rFonts w:ascii="Junicode" w:hAnsi="Junicode"/>
          <w:lang w:val="en-CA"/>
        </w:rPr>
        <w:t xml:space="preserve"> Zheng, </w:t>
      </w:r>
      <w:proofErr w:type="spellStart"/>
      <w:r w:rsidRPr="007A136D">
        <w:rPr>
          <w:rFonts w:ascii="Junicode" w:hAnsi="Junicode"/>
          <w:lang w:val="en-CA"/>
        </w:rPr>
        <w:t>Ikumu</w:t>
      </w:r>
      <w:proofErr w:type="spellEnd"/>
      <w:r w:rsidRPr="007A136D">
        <w:rPr>
          <w:rFonts w:ascii="Junicode" w:hAnsi="Junicode"/>
          <w:lang w:val="en-CA"/>
        </w:rPr>
        <w:t xml:space="preserve"> Watanabe, and Yoichi </w:t>
      </w:r>
      <w:proofErr w:type="spellStart"/>
      <w:r w:rsidRPr="007A136D">
        <w:rPr>
          <w:rFonts w:ascii="Junicode" w:hAnsi="Junicode"/>
          <w:lang w:val="en-CA"/>
        </w:rPr>
        <w:t>Ochiai</w:t>
      </w:r>
      <w:proofErr w:type="spellEnd"/>
      <w:r w:rsidRPr="007A136D">
        <w:rPr>
          <w:rFonts w:ascii="Junicode" w:hAnsi="Junicode"/>
          <w:lang w:val="en-CA"/>
        </w:rPr>
        <w:t xml:space="preserve">. “A Systematic Review of Digital Transformation Technologies in Museum Exhibition.” </w:t>
      </w:r>
      <w:r w:rsidRPr="007A136D">
        <w:rPr>
          <w:rFonts w:ascii="Junicode" w:hAnsi="Junicode"/>
          <w:i/>
          <w:iCs/>
          <w:lang w:val="en-CA"/>
        </w:rPr>
        <w:t>Computers in Human Behavior</w:t>
      </w:r>
      <w:r w:rsidRPr="007A136D">
        <w:rPr>
          <w:rFonts w:ascii="Junicode" w:hAnsi="Junicode"/>
          <w:lang w:val="en-CA"/>
        </w:rPr>
        <w:t xml:space="preserve"> 161 (December 2024): 108407. </w:t>
      </w:r>
      <w:hyperlink r:id="rId4" w:history="1">
        <w:r w:rsidRPr="007A136D">
          <w:rPr>
            <w:rStyle w:val="Hyperlink"/>
            <w:rFonts w:ascii="Junicode" w:hAnsi="Junicode"/>
            <w:lang w:val="en-CA"/>
          </w:rPr>
          <w:t>https://doi.org/10.1016/j.chb.2024.108407</w:t>
        </w:r>
      </w:hyperlink>
      <w:r w:rsidRPr="007A136D">
        <w:rPr>
          <w:rFonts w:ascii="Junicode" w:hAnsi="Junicode"/>
          <w:lang w:val="en-CA"/>
        </w:rPr>
        <w:t xml:space="preserve">; see also </w:t>
      </w:r>
      <w:r w:rsidRPr="007A136D">
        <w:rPr>
          <w:rFonts w:ascii="Junicode" w:hAnsi="Junicode"/>
          <w:lang w:val="en-CA"/>
        </w:rPr>
        <w:t xml:space="preserve">Schaller, David T. 2011. “The Meaning Makes It Fun: Game-Based Learning for Museums.” </w:t>
      </w:r>
      <w:r w:rsidRPr="007A136D">
        <w:rPr>
          <w:rFonts w:ascii="Junicode" w:hAnsi="Junicode"/>
          <w:i/>
          <w:iCs/>
          <w:lang w:val="en-CA"/>
        </w:rPr>
        <w:t>Journal of Museum Education</w:t>
      </w:r>
      <w:r w:rsidRPr="007A136D">
        <w:rPr>
          <w:rFonts w:ascii="Junicode" w:hAnsi="Junicode"/>
          <w:lang w:val="en-CA"/>
        </w:rPr>
        <w:t xml:space="preserve"> 36 (3): 261–68. https://doi.org/10.1080/10598650.2011.11510707.</w:t>
      </w:r>
    </w:p>
  </w:footnote>
  <w:footnote w:id="4">
    <w:p w14:paraId="330A2BBE" w14:textId="09BE320D" w:rsidR="007A136D" w:rsidRPr="007A136D" w:rsidRDefault="007A136D">
      <w:pPr>
        <w:pStyle w:val="FootnoteText"/>
        <w:rPr>
          <w:lang w:val="en-CA"/>
        </w:rPr>
      </w:pPr>
      <w:r>
        <w:rPr>
          <w:rStyle w:val="FootnoteReference"/>
        </w:rPr>
        <w:footnoteRef/>
      </w:r>
      <w:r>
        <w:t xml:space="preserve"> </w:t>
      </w:r>
      <w:r w:rsidRPr="007A136D">
        <w:rPr>
          <w:rFonts w:ascii="Junicode" w:hAnsi="Junicode"/>
          <w:lang w:val="en-CA"/>
        </w:rPr>
        <w:t xml:space="preserve">Simon, Nina. </w:t>
      </w:r>
      <w:r w:rsidRPr="007A136D">
        <w:rPr>
          <w:rFonts w:ascii="Junicode" w:hAnsi="Junicode"/>
          <w:i/>
          <w:iCs/>
          <w:lang w:val="en-CA"/>
        </w:rPr>
        <w:t>The Participatory Museum</w:t>
      </w:r>
      <w:r w:rsidRPr="007A136D">
        <w:rPr>
          <w:rFonts w:ascii="Junicode" w:hAnsi="Junicode"/>
          <w:lang w:val="en-CA"/>
        </w:rPr>
        <w:t>. Museum 2.0, 2011. http://www.participatorymuseum.org/read.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502E30"/>
    <w:multiLevelType w:val="hybridMultilevel"/>
    <w:tmpl w:val="B560AF2E"/>
    <w:lvl w:ilvl="0" w:tplc="EB744F8A">
      <w:numFmt w:val="bullet"/>
      <w:lvlText w:val="-"/>
      <w:lvlJc w:val="left"/>
      <w:pPr>
        <w:ind w:left="1080" w:hanging="360"/>
      </w:pPr>
      <w:rPr>
        <w:rFonts w:ascii="Junicode" w:eastAsiaTheme="minorEastAsia" w:hAnsi="Junicode"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183179A"/>
    <w:multiLevelType w:val="hybridMultilevel"/>
    <w:tmpl w:val="6BF647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16D3915"/>
    <w:multiLevelType w:val="hybridMultilevel"/>
    <w:tmpl w:val="3A460108"/>
    <w:lvl w:ilvl="0" w:tplc="A7226402">
      <w:numFmt w:val="bullet"/>
      <w:lvlText w:val="-"/>
      <w:lvlJc w:val="left"/>
      <w:pPr>
        <w:ind w:left="720" w:hanging="360"/>
      </w:pPr>
      <w:rPr>
        <w:rFonts w:ascii="Junicode" w:eastAsiaTheme="minorEastAsia" w:hAnsi="Junicode" w:cstheme="minorBidi" w:hint="default"/>
        <w:i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6021061">
    <w:abstractNumId w:val="2"/>
  </w:num>
  <w:num w:numId="2" w16cid:durableId="1157915247">
    <w:abstractNumId w:val="0"/>
  </w:num>
  <w:num w:numId="3" w16cid:durableId="452746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4C"/>
    <w:rsid w:val="00184638"/>
    <w:rsid w:val="00255E4A"/>
    <w:rsid w:val="002C6707"/>
    <w:rsid w:val="00325B49"/>
    <w:rsid w:val="00372958"/>
    <w:rsid w:val="004279EB"/>
    <w:rsid w:val="0061409E"/>
    <w:rsid w:val="00614F06"/>
    <w:rsid w:val="0077694C"/>
    <w:rsid w:val="007A136D"/>
    <w:rsid w:val="008174CD"/>
    <w:rsid w:val="00B14618"/>
    <w:rsid w:val="00BA54CB"/>
    <w:rsid w:val="00BF78B5"/>
    <w:rsid w:val="00CB501D"/>
    <w:rsid w:val="00D0400E"/>
    <w:rsid w:val="00D573DE"/>
    <w:rsid w:val="00FF42C5"/>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EA44B9A"/>
  <w15:chartTrackingRefBased/>
  <w15:docId w15:val="{54D515B9-9F99-7347-B070-C27BBB0C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76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94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7694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7694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7694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7694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769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769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769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769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7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9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76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9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7694C"/>
    <w:pPr>
      <w:spacing w:before="160"/>
      <w:jc w:val="center"/>
    </w:pPr>
    <w:rPr>
      <w:i/>
      <w:iCs/>
      <w:color w:val="404040" w:themeColor="text1" w:themeTint="BF"/>
    </w:rPr>
  </w:style>
  <w:style w:type="character" w:customStyle="1" w:styleId="QuoteChar">
    <w:name w:val="Quote Char"/>
    <w:basedOn w:val="DefaultParagraphFont"/>
    <w:link w:val="Quote"/>
    <w:uiPriority w:val="29"/>
    <w:rsid w:val="0077694C"/>
    <w:rPr>
      <w:i/>
      <w:iCs/>
      <w:color w:val="404040" w:themeColor="text1" w:themeTint="BF"/>
      <w:lang w:val="en-GB"/>
    </w:rPr>
  </w:style>
  <w:style w:type="paragraph" w:styleId="ListParagraph">
    <w:name w:val="List Paragraph"/>
    <w:basedOn w:val="Normal"/>
    <w:uiPriority w:val="34"/>
    <w:qFormat/>
    <w:rsid w:val="0077694C"/>
    <w:pPr>
      <w:ind w:left="720"/>
      <w:contextualSpacing/>
    </w:pPr>
  </w:style>
  <w:style w:type="character" w:styleId="IntenseEmphasis">
    <w:name w:val="Intense Emphasis"/>
    <w:basedOn w:val="DefaultParagraphFont"/>
    <w:uiPriority w:val="21"/>
    <w:qFormat/>
    <w:rsid w:val="0077694C"/>
    <w:rPr>
      <w:i/>
      <w:iCs/>
      <w:color w:val="0F4761" w:themeColor="accent1" w:themeShade="BF"/>
    </w:rPr>
  </w:style>
  <w:style w:type="paragraph" w:styleId="IntenseQuote">
    <w:name w:val="Intense Quote"/>
    <w:basedOn w:val="Normal"/>
    <w:next w:val="Normal"/>
    <w:link w:val="IntenseQuoteChar"/>
    <w:uiPriority w:val="30"/>
    <w:qFormat/>
    <w:rsid w:val="0077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94C"/>
    <w:rPr>
      <w:i/>
      <w:iCs/>
      <w:color w:val="0F4761" w:themeColor="accent1" w:themeShade="BF"/>
      <w:lang w:val="en-GB"/>
    </w:rPr>
  </w:style>
  <w:style w:type="character" w:styleId="IntenseReference">
    <w:name w:val="Intense Reference"/>
    <w:basedOn w:val="DefaultParagraphFont"/>
    <w:uiPriority w:val="32"/>
    <w:qFormat/>
    <w:rsid w:val="0077694C"/>
    <w:rPr>
      <w:b/>
      <w:bCs/>
      <w:smallCaps/>
      <w:color w:val="0F4761" w:themeColor="accent1" w:themeShade="BF"/>
      <w:spacing w:val="5"/>
    </w:rPr>
  </w:style>
  <w:style w:type="character" w:styleId="Hyperlink">
    <w:name w:val="Hyperlink"/>
    <w:basedOn w:val="DefaultParagraphFont"/>
    <w:uiPriority w:val="99"/>
    <w:unhideWhenUsed/>
    <w:rsid w:val="0077694C"/>
    <w:rPr>
      <w:color w:val="467886" w:themeColor="hyperlink"/>
      <w:u w:val="single"/>
    </w:rPr>
  </w:style>
  <w:style w:type="character" w:styleId="UnresolvedMention">
    <w:name w:val="Unresolved Mention"/>
    <w:basedOn w:val="DefaultParagraphFont"/>
    <w:uiPriority w:val="99"/>
    <w:semiHidden/>
    <w:unhideWhenUsed/>
    <w:rsid w:val="0077694C"/>
    <w:rPr>
      <w:color w:val="605E5C"/>
      <w:shd w:val="clear" w:color="auto" w:fill="E1DFDD"/>
    </w:rPr>
  </w:style>
  <w:style w:type="paragraph" w:styleId="FootnoteText">
    <w:name w:val="footnote text"/>
    <w:basedOn w:val="Normal"/>
    <w:link w:val="FootnoteTextChar"/>
    <w:uiPriority w:val="99"/>
    <w:semiHidden/>
    <w:unhideWhenUsed/>
    <w:rsid w:val="00D573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73DE"/>
    <w:rPr>
      <w:sz w:val="20"/>
      <w:szCs w:val="20"/>
      <w:lang w:val="en-GB"/>
    </w:rPr>
  </w:style>
  <w:style w:type="character" w:styleId="FootnoteReference">
    <w:name w:val="footnote reference"/>
    <w:basedOn w:val="DefaultParagraphFont"/>
    <w:uiPriority w:val="99"/>
    <w:semiHidden/>
    <w:unhideWhenUsed/>
    <w:rsid w:val="00D573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59361">
      <w:bodyDiv w:val="1"/>
      <w:marLeft w:val="0"/>
      <w:marRight w:val="0"/>
      <w:marTop w:val="0"/>
      <w:marBottom w:val="0"/>
      <w:divBdr>
        <w:top w:val="none" w:sz="0" w:space="0" w:color="auto"/>
        <w:left w:val="none" w:sz="0" w:space="0" w:color="auto"/>
        <w:bottom w:val="none" w:sz="0" w:space="0" w:color="auto"/>
        <w:right w:val="none" w:sz="0" w:space="0" w:color="auto"/>
      </w:divBdr>
      <w:divsChild>
        <w:div w:id="738211403">
          <w:marLeft w:val="480"/>
          <w:marRight w:val="0"/>
          <w:marTop w:val="0"/>
          <w:marBottom w:val="0"/>
          <w:divBdr>
            <w:top w:val="none" w:sz="0" w:space="0" w:color="auto"/>
            <w:left w:val="none" w:sz="0" w:space="0" w:color="auto"/>
            <w:bottom w:val="none" w:sz="0" w:space="0" w:color="auto"/>
            <w:right w:val="none" w:sz="0" w:space="0" w:color="auto"/>
          </w:divBdr>
          <w:divsChild>
            <w:div w:id="15820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7568">
      <w:bodyDiv w:val="1"/>
      <w:marLeft w:val="0"/>
      <w:marRight w:val="0"/>
      <w:marTop w:val="0"/>
      <w:marBottom w:val="0"/>
      <w:divBdr>
        <w:top w:val="none" w:sz="0" w:space="0" w:color="auto"/>
        <w:left w:val="none" w:sz="0" w:space="0" w:color="auto"/>
        <w:bottom w:val="none" w:sz="0" w:space="0" w:color="auto"/>
        <w:right w:val="none" w:sz="0" w:space="0" w:color="auto"/>
      </w:divBdr>
      <w:divsChild>
        <w:div w:id="523175443">
          <w:marLeft w:val="480"/>
          <w:marRight w:val="0"/>
          <w:marTop w:val="0"/>
          <w:marBottom w:val="0"/>
          <w:divBdr>
            <w:top w:val="none" w:sz="0" w:space="0" w:color="auto"/>
            <w:left w:val="none" w:sz="0" w:space="0" w:color="auto"/>
            <w:bottom w:val="none" w:sz="0" w:space="0" w:color="auto"/>
            <w:right w:val="none" w:sz="0" w:space="0" w:color="auto"/>
          </w:divBdr>
          <w:divsChild>
            <w:div w:id="14379461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10016561">
      <w:bodyDiv w:val="1"/>
      <w:marLeft w:val="0"/>
      <w:marRight w:val="0"/>
      <w:marTop w:val="0"/>
      <w:marBottom w:val="0"/>
      <w:divBdr>
        <w:top w:val="none" w:sz="0" w:space="0" w:color="auto"/>
        <w:left w:val="none" w:sz="0" w:space="0" w:color="auto"/>
        <w:bottom w:val="none" w:sz="0" w:space="0" w:color="auto"/>
        <w:right w:val="none" w:sz="0" w:space="0" w:color="auto"/>
      </w:divBdr>
      <w:divsChild>
        <w:div w:id="27923251">
          <w:marLeft w:val="480"/>
          <w:marRight w:val="0"/>
          <w:marTop w:val="0"/>
          <w:marBottom w:val="0"/>
          <w:divBdr>
            <w:top w:val="none" w:sz="0" w:space="0" w:color="auto"/>
            <w:left w:val="none" w:sz="0" w:space="0" w:color="auto"/>
            <w:bottom w:val="none" w:sz="0" w:space="0" w:color="auto"/>
            <w:right w:val="none" w:sz="0" w:space="0" w:color="auto"/>
          </w:divBdr>
          <w:divsChild>
            <w:div w:id="20373439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55808952">
      <w:bodyDiv w:val="1"/>
      <w:marLeft w:val="0"/>
      <w:marRight w:val="0"/>
      <w:marTop w:val="0"/>
      <w:marBottom w:val="0"/>
      <w:divBdr>
        <w:top w:val="none" w:sz="0" w:space="0" w:color="auto"/>
        <w:left w:val="none" w:sz="0" w:space="0" w:color="auto"/>
        <w:bottom w:val="none" w:sz="0" w:space="0" w:color="auto"/>
        <w:right w:val="none" w:sz="0" w:space="0" w:color="auto"/>
      </w:divBdr>
      <w:divsChild>
        <w:div w:id="1268582471">
          <w:marLeft w:val="480"/>
          <w:marRight w:val="0"/>
          <w:marTop w:val="0"/>
          <w:marBottom w:val="0"/>
          <w:divBdr>
            <w:top w:val="none" w:sz="0" w:space="0" w:color="auto"/>
            <w:left w:val="none" w:sz="0" w:space="0" w:color="auto"/>
            <w:bottom w:val="none" w:sz="0" w:space="0" w:color="auto"/>
            <w:right w:val="none" w:sz="0" w:space="0" w:color="auto"/>
          </w:divBdr>
          <w:divsChild>
            <w:div w:id="138375218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13010057">
      <w:bodyDiv w:val="1"/>
      <w:marLeft w:val="0"/>
      <w:marRight w:val="0"/>
      <w:marTop w:val="0"/>
      <w:marBottom w:val="0"/>
      <w:divBdr>
        <w:top w:val="none" w:sz="0" w:space="0" w:color="auto"/>
        <w:left w:val="none" w:sz="0" w:space="0" w:color="auto"/>
        <w:bottom w:val="none" w:sz="0" w:space="0" w:color="auto"/>
        <w:right w:val="none" w:sz="0" w:space="0" w:color="auto"/>
      </w:divBdr>
      <w:divsChild>
        <w:div w:id="1309163602">
          <w:marLeft w:val="480"/>
          <w:marRight w:val="0"/>
          <w:marTop w:val="0"/>
          <w:marBottom w:val="0"/>
          <w:divBdr>
            <w:top w:val="none" w:sz="0" w:space="0" w:color="auto"/>
            <w:left w:val="none" w:sz="0" w:space="0" w:color="auto"/>
            <w:bottom w:val="none" w:sz="0" w:space="0" w:color="auto"/>
            <w:right w:val="none" w:sz="0" w:space="0" w:color="auto"/>
          </w:divBdr>
          <w:divsChild>
            <w:div w:id="156467863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66825762">
      <w:bodyDiv w:val="1"/>
      <w:marLeft w:val="0"/>
      <w:marRight w:val="0"/>
      <w:marTop w:val="0"/>
      <w:marBottom w:val="0"/>
      <w:divBdr>
        <w:top w:val="none" w:sz="0" w:space="0" w:color="auto"/>
        <w:left w:val="none" w:sz="0" w:space="0" w:color="auto"/>
        <w:bottom w:val="none" w:sz="0" w:space="0" w:color="auto"/>
        <w:right w:val="none" w:sz="0" w:space="0" w:color="auto"/>
      </w:divBdr>
      <w:divsChild>
        <w:div w:id="1596741579">
          <w:marLeft w:val="480"/>
          <w:marRight w:val="0"/>
          <w:marTop w:val="0"/>
          <w:marBottom w:val="0"/>
          <w:divBdr>
            <w:top w:val="none" w:sz="0" w:space="0" w:color="auto"/>
            <w:left w:val="none" w:sz="0" w:space="0" w:color="auto"/>
            <w:bottom w:val="none" w:sz="0" w:space="0" w:color="auto"/>
            <w:right w:val="none" w:sz="0" w:space="0" w:color="auto"/>
          </w:divBdr>
          <w:divsChild>
            <w:div w:id="2904018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22231133">
      <w:bodyDiv w:val="1"/>
      <w:marLeft w:val="0"/>
      <w:marRight w:val="0"/>
      <w:marTop w:val="0"/>
      <w:marBottom w:val="0"/>
      <w:divBdr>
        <w:top w:val="none" w:sz="0" w:space="0" w:color="auto"/>
        <w:left w:val="none" w:sz="0" w:space="0" w:color="auto"/>
        <w:bottom w:val="none" w:sz="0" w:space="0" w:color="auto"/>
        <w:right w:val="none" w:sz="0" w:space="0" w:color="auto"/>
      </w:divBdr>
      <w:divsChild>
        <w:div w:id="2117825258">
          <w:marLeft w:val="480"/>
          <w:marRight w:val="0"/>
          <w:marTop w:val="0"/>
          <w:marBottom w:val="0"/>
          <w:divBdr>
            <w:top w:val="none" w:sz="0" w:space="0" w:color="auto"/>
            <w:left w:val="none" w:sz="0" w:space="0" w:color="auto"/>
            <w:bottom w:val="none" w:sz="0" w:space="0" w:color="auto"/>
            <w:right w:val="none" w:sz="0" w:space="0" w:color="auto"/>
          </w:divBdr>
          <w:divsChild>
            <w:div w:id="21215631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22663007">
      <w:bodyDiv w:val="1"/>
      <w:marLeft w:val="0"/>
      <w:marRight w:val="0"/>
      <w:marTop w:val="0"/>
      <w:marBottom w:val="0"/>
      <w:divBdr>
        <w:top w:val="none" w:sz="0" w:space="0" w:color="auto"/>
        <w:left w:val="none" w:sz="0" w:space="0" w:color="auto"/>
        <w:bottom w:val="none" w:sz="0" w:space="0" w:color="auto"/>
        <w:right w:val="none" w:sz="0" w:space="0" w:color="auto"/>
      </w:divBdr>
      <w:divsChild>
        <w:div w:id="936792608">
          <w:marLeft w:val="480"/>
          <w:marRight w:val="0"/>
          <w:marTop w:val="0"/>
          <w:marBottom w:val="0"/>
          <w:divBdr>
            <w:top w:val="none" w:sz="0" w:space="0" w:color="auto"/>
            <w:left w:val="none" w:sz="0" w:space="0" w:color="auto"/>
            <w:bottom w:val="none" w:sz="0" w:space="0" w:color="auto"/>
            <w:right w:val="none" w:sz="0" w:space="0" w:color="auto"/>
          </w:divBdr>
          <w:divsChild>
            <w:div w:id="42107536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52103222">
      <w:bodyDiv w:val="1"/>
      <w:marLeft w:val="0"/>
      <w:marRight w:val="0"/>
      <w:marTop w:val="0"/>
      <w:marBottom w:val="0"/>
      <w:divBdr>
        <w:top w:val="none" w:sz="0" w:space="0" w:color="auto"/>
        <w:left w:val="none" w:sz="0" w:space="0" w:color="auto"/>
        <w:bottom w:val="none" w:sz="0" w:space="0" w:color="auto"/>
        <w:right w:val="none" w:sz="0" w:space="0" w:color="auto"/>
      </w:divBdr>
      <w:divsChild>
        <w:div w:id="1593697">
          <w:marLeft w:val="480"/>
          <w:marRight w:val="0"/>
          <w:marTop w:val="0"/>
          <w:marBottom w:val="0"/>
          <w:divBdr>
            <w:top w:val="none" w:sz="0" w:space="0" w:color="auto"/>
            <w:left w:val="none" w:sz="0" w:space="0" w:color="auto"/>
            <w:bottom w:val="none" w:sz="0" w:space="0" w:color="auto"/>
            <w:right w:val="none" w:sz="0" w:space="0" w:color="auto"/>
          </w:divBdr>
          <w:divsChild>
            <w:div w:id="16969561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41760969">
      <w:bodyDiv w:val="1"/>
      <w:marLeft w:val="0"/>
      <w:marRight w:val="0"/>
      <w:marTop w:val="0"/>
      <w:marBottom w:val="0"/>
      <w:divBdr>
        <w:top w:val="none" w:sz="0" w:space="0" w:color="auto"/>
        <w:left w:val="none" w:sz="0" w:space="0" w:color="auto"/>
        <w:bottom w:val="none" w:sz="0" w:space="0" w:color="auto"/>
        <w:right w:val="none" w:sz="0" w:space="0" w:color="auto"/>
      </w:divBdr>
      <w:divsChild>
        <w:div w:id="2093354917">
          <w:marLeft w:val="480"/>
          <w:marRight w:val="0"/>
          <w:marTop w:val="0"/>
          <w:marBottom w:val="0"/>
          <w:divBdr>
            <w:top w:val="none" w:sz="0" w:space="0" w:color="auto"/>
            <w:left w:val="none" w:sz="0" w:space="0" w:color="auto"/>
            <w:bottom w:val="none" w:sz="0" w:space="0" w:color="auto"/>
            <w:right w:val="none" w:sz="0" w:space="0" w:color="auto"/>
          </w:divBdr>
          <w:divsChild>
            <w:div w:id="14804630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31914827">
      <w:bodyDiv w:val="1"/>
      <w:marLeft w:val="0"/>
      <w:marRight w:val="0"/>
      <w:marTop w:val="0"/>
      <w:marBottom w:val="0"/>
      <w:divBdr>
        <w:top w:val="none" w:sz="0" w:space="0" w:color="auto"/>
        <w:left w:val="none" w:sz="0" w:space="0" w:color="auto"/>
        <w:bottom w:val="none" w:sz="0" w:space="0" w:color="auto"/>
        <w:right w:val="none" w:sz="0" w:space="0" w:color="auto"/>
      </w:divBdr>
      <w:divsChild>
        <w:div w:id="1468355731">
          <w:marLeft w:val="480"/>
          <w:marRight w:val="0"/>
          <w:marTop w:val="0"/>
          <w:marBottom w:val="0"/>
          <w:divBdr>
            <w:top w:val="none" w:sz="0" w:space="0" w:color="auto"/>
            <w:left w:val="none" w:sz="0" w:space="0" w:color="auto"/>
            <w:bottom w:val="none" w:sz="0" w:space="0" w:color="auto"/>
            <w:right w:val="none" w:sz="0" w:space="0" w:color="auto"/>
          </w:divBdr>
          <w:divsChild>
            <w:div w:id="10794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2967">
      <w:bodyDiv w:val="1"/>
      <w:marLeft w:val="0"/>
      <w:marRight w:val="0"/>
      <w:marTop w:val="0"/>
      <w:marBottom w:val="0"/>
      <w:divBdr>
        <w:top w:val="none" w:sz="0" w:space="0" w:color="auto"/>
        <w:left w:val="none" w:sz="0" w:space="0" w:color="auto"/>
        <w:bottom w:val="none" w:sz="0" w:space="0" w:color="auto"/>
        <w:right w:val="none" w:sz="0" w:space="0" w:color="auto"/>
      </w:divBdr>
      <w:divsChild>
        <w:div w:id="1118329223">
          <w:marLeft w:val="0"/>
          <w:marRight w:val="0"/>
          <w:marTop w:val="0"/>
          <w:marBottom w:val="0"/>
          <w:divBdr>
            <w:top w:val="none" w:sz="0" w:space="0" w:color="auto"/>
            <w:left w:val="none" w:sz="0" w:space="0" w:color="auto"/>
            <w:bottom w:val="none" w:sz="0" w:space="0" w:color="auto"/>
            <w:right w:val="none" w:sz="0" w:space="0" w:color="auto"/>
          </w:divBdr>
        </w:div>
      </w:divsChild>
    </w:div>
    <w:div w:id="991064153">
      <w:bodyDiv w:val="1"/>
      <w:marLeft w:val="0"/>
      <w:marRight w:val="0"/>
      <w:marTop w:val="0"/>
      <w:marBottom w:val="0"/>
      <w:divBdr>
        <w:top w:val="none" w:sz="0" w:space="0" w:color="auto"/>
        <w:left w:val="none" w:sz="0" w:space="0" w:color="auto"/>
        <w:bottom w:val="none" w:sz="0" w:space="0" w:color="auto"/>
        <w:right w:val="none" w:sz="0" w:space="0" w:color="auto"/>
      </w:divBdr>
      <w:divsChild>
        <w:div w:id="716586820">
          <w:marLeft w:val="480"/>
          <w:marRight w:val="0"/>
          <w:marTop w:val="0"/>
          <w:marBottom w:val="0"/>
          <w:divBdr>
            <w:top w:val="none" w:sz="0" w:space="0" w:color="auto"/>
            <w:left w:val="none" w:sz="0" w:space="0" w:color="auto"/>
            <w:bottom w:val="none" w:sz="0" w:space="0" w:color="auto"/>
            <w:right w:val="none" w:sz="0" w:space="0" w:color="auto"/>
          </w:divBdr>
          <w:divsChild>
            <w:div w:id="304045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77883267">
      <w:bodyDiv w:val="1"/>
      <w:marLeft w:val="0"/>
      <w:marRight w:val="0"/>
      <w:marTop w:val="0"/>
      <w:marBottom w:val="0"/>
      <w:divBdr>
        <w:top w:val="none" w:sz="0" w:space="0" w:color="auto"/>
        <w:left w:val="none" w:sz="0" w:space="0" w:color="auto"/>
        <w:bottom w:val="none" w:sz="0" w:space="0" w:color="auto"/>
        <w:right w:val="none" w:sz="0" w:space="0" w:color="auto"/>
      </w:divBdr>
      <w:divsChild>
        <w:div w:id="478303376">
          <w:marLeft w:val="480"/>
          <w:marRight w:val="0"/>
          <w:marTop w:val="0"/>
          <w:marBottom w:val="0"/>
          <w:divBdr>
            <w:top w:val="none" w:sz="0" w:space="0" w:color="auto"/>
            <w:left w:val="none" w:sz="0" w:space="0" w:color="auto"/>
            <w:bottom w:val="none" w:sz="0" w:space="0" w:color="auto"/>
            <w:right w:val="none" w:sz="0" w:space="0" w:color="auto"/>
          </w:divBdr>
          <w:divsChild>
            <w:div w:id="5732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5995">
      <w:bodyDiv w:val="1"/>
      <w:marLeft w:val="0"/>
      <w:marRight w:val="0"/>
      <w:marTop w:val="0"/>
      <w:marBottom w:val="0"/>
      <w:divBdr>
        <w:top w:val="none" w:sz="0" w:space="0" w:color="auto"/>
        <w:left w:val="none" w:sz="0" w:space="0" w:color="auto"/>
        <w:bottom w:val="none" w:sz="0" w:space="0" w:color="auto"/>
        <w:right w:val="none" w:sz="0" w:space="0" w:color="auto"/>
      </w:divBdr>
      <w:divsChild>
        <w:div w:id="1492599962">
          <w:marLeft w:val="480"/>
          <w:marRight w:val="0"/>
          <w:marTop w:val="0"/>
          <w:marBottom w:val="0"/>
          <w:divBdr>
            <w:top w:val="none" w:sz="0" w:space="0" w:color="auto"/>
            <w:left w:val="none" w:sz="0" w:space="0" w:color="auto"/>
            <w:bottom w:val="none" w:sz="0" w:space="0" w:color="auto"/>
            <w:right w:val="none" w:sz="0" w:space="0" w:color="auto"/>
          </w:divBdr>
          <w:divsChild>
            <w:div w:id="4319045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7697866">
      <w:bodyDiv w:val="1"/>
      <w:marLeft w:val="0"/>
      <w:marRight w:val="0"/>
      <w:marTop w:val="0"/>
      <w:marBottom w:val="0"/>
      <w:divBdr>
        <w:top w:val="none" w:sz="0" w:space="0" w:color="auto"/>
        <w:left w:val="none" w:sz="0" w:space="0" w:color="auto"/>
        <w:bottom w:val="none" w:sz="0" w:space="0" w:color="auto"/>
        <w:right w:val="none" w:sz="0" w:space="0" w:color="auto"/>
      </w:divBdr>
      <w:divsChild>
        <w:div w:id="2056390976">
          <w:marLeft w:val="0"/>
          <w:marRight w:val="0"/>
          <w:marTop w:val="0"/>
          <w:marBottom w:val="0"/>
          <w:divBdr>
            <w:top w:val="none" w:sz="0" w:space="0" w:color="auto"/>
            <w:left w:val="none" w:sz="0" w:space="0" w:color="auto"/>
            <w:bottom w:val="none" w:sz="0" w:space="0" w:color="auto"/>
            <w:right w:val="none" w:sz="0" w:space="0" w:color="auto"/>
          </w:divBdr>
        </w:div>
      </w:divsChild>
    </w:div>
    <w:div w:id="1941602118">
      <w:bodyDiv w:val="1"/>
      <w:marLeft w:val="0"/>
      <w:marRight w:val="0"/>
      <w:marTop w:val="0"/>
      <w:marBottom w:val="0"/>
      <w:divBdr>
        <w:top w:val="none" w:sz="0" w:space="0" w:color="auto"/>
        <w:left w:val="none" w:sz="0" w:space="0" w:color="auto"/>
        <w:bottom w:val="none" w:sz="0" w:space="0" w:color="auto"/>
        <w:right w:val="none" w:sz="0" w:space="0" w:color="auto"/>
      </w:divBdr>
      <w:divsChild>
        <w:div w:id="1212618937">
          <w:marLeft w:val="480"/>
          <w:marRight w:val="0"/>
          <w:marTop w:val="0"/>
          <w:marBottom w:val="0"/>
          <w:divBdr>
            <w:top w:val="none" w:sz="0" w:space="0" w:color="auto"/>
            <w:left w:val="none" w:sz="0" w:space="0" w:color="auto"/>
            <w:bottom w:val="none" w:sz="0" w:space="0" w:color="auto"/>
            <w:right w:val="none" w:sz="0" w:space="0" w:color="auto"/>
          </w:divBdr>
          <w:divsChild>
            <w:div w:id="13849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27499">
      <w:bodyDiv w:val="1"/>
      <w:marLeft w:val="0"/>
      <w:marRight w:val="0"/>
      <w:marTop w:val="0"/>
      <w:marBottom w:val="0"/>
      <w:divBdr>
        <w:top w:val="none" w:sz="0" w:space="0" w:color="auto"/>
        <w:left w:val="none" w:sz="0" w:space="0" w:color="auto"/>
        <w:bottom w:val="none" w:sz="0" w:space="0" w:color="auto"/>
        <w:right w:val="none" w:sz="0" w:space="0" w:color="auto"/>
      </w:divBdr>
      <w:divsChild>
        <w:div w:id="348920894">
          <w:marLeft w:val="480"/>
          <w:marRight w:val="0"/>
          <w:marTop w:val="0"/>
          <w:marBottom w:val="0"/>
          <w:divBdr>
            <w:top w:val="none" w:sz="0" w:space="0" w:color="auto"/>
            <w:left w:val="none" w:sz="0" w:space="0" w:color="auto"/>
            <w:bottom w:val="none" w:sz="0" w:space="0" w:color="auto"/>
            <w:right w:val="none" w:sz="0" w:space="0" w:color="auto"/>
          </w:divBdr>
          <w:divsChild>
            <w:div w:id="10737711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5833589">
      <w:bodyDiv w:val="1"/>
      <w:marLeft w:val="0"/>
      <w:marRight w:val="0"/>
      <w:marTop w:val="0"/>
      <w:marBottom w:val="0"/>
      <w:divBdr>
        <w:top w:val="none" w:sz="0" w:space="0" w:color="auto"/>
        <w:left w:val="none" w:sz="0" w:space="0" w:color="auto"/>
        <w:bottom w:val="none" w:sz="0" w:space="0" w:color="auto"/>
        <w:right w:val="none" w:sz="0" w:space="0" w:color="auto"/>
      </w:divBdr>
      <w:divsChild>
        <w:div w:id="385111259">
          <w:marLeft w:val="480"/>
          <w:marRight w:val="0"/>
          <w:marTop w:val="0"/>
          <w:marBottom w:val="0"/>
          <w:divBdr>
            <w:top w:val="none" w:sz="0" w:space="0" w:color="auto"/>
            <w:left w:val="none" w:sz="0" w:space="0" w:color="auto"/>
            <w:bottom w:val="none" w:sz="0" w:space="0" w:color="auto"/>
            <w:right w:val="none" w:sz="0" w:space="0" w:color="auto"/>
          </w:divBdr>
          <w:divsChild>
            <w:div w:id="947139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35253072">
      <w:bodyDiv w:val="1"/>
      <w:marLeft w:val="0"/>
      <w:marRight w:val="0"/>
      <w:marTop w:val="0"/>
      <w:marBottom w:val="0"/>
      <w:divBdr>
        <w:top w:val="none" w:sz="0" w:space="0" w:color="auto"/>
        <w:left w:val="none" w:sz="0" w:space="0" w:color="auto"/>
        <w:bottom w:val="none" w:sz="0" w:space="0" w:color="auto"/>
        <w:right w:val="none" w:sz="0" w:space="0" w:color="auto"/>
      </w:divBdr>
      <w:divsChild>
        <w:div w:id="649479169">
          <w:marLeft w:val="480"/>
          <w:marRight w:val="0"/>
          <w:marTop w:val="0"/>
          <w:marBottom w:val="0"/>
          <w:divBdr>
            <w:top w:val="none" w:sz="0" w:space="0" w:color="auto"/>
            <w:left w:val="none" w:sz="0" w:space="0" w:color="auto"/>
            <w:bottom w:val="none" w:sz="0" w:space="0" w:color="auto"/>
            <w:right w:val="none" w:sz="0" w:space="0" w:color="auto"/>
          </w:divBdr>
          <w:divsChild>
            <w:div w:id="10472671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3390/heritage5020043" TargetMode="External"/><Relationship Id="rId2" Type="http://schemas.openxmlformats.org/officeDocument/2006/relationships/hyperlink" Target="https://grapeandwinemag.com/2025/10/09/the-rebirth-of-amphora-wine-how-clay-vessels-are-adding-purity-to-modern-winemaking/" TargetMode="External"/><Relationship Id="rId1" Type="http://schemas.openxmlformats.org/officeDocument/2006/relationships/hyperlink" Target="https://www.forbes.com/sites/cathrinetodd/2025/10/28/award-winning-rising-wine-star-making-spectacular-wines-using-ancient-ways/" TargetMode="External"/><Relationship Id="rId4" Type="http://schemas.openxmlformats.org/officeDocument/2006/relationships/hyperlink" Target="https://doi.org/10.1016/j.chb.2024.108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14C0F3D-4801-8B4A-851B-0EB3C295B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Minji Kang</dc:creator>
  <cp:keywords/>
  <dc:description/>
  <cp:lastModifiedBy>Minji Kang</cp:lastModifiedBy>
  <cp:revision>1</cp:revision>
  <dcterms:created xsi:type="dcterms:W3CDTF">2026-04-22T13:40:00Z</dcterms:created>
  <dcterms:modified xsi:type="dcterms:W3CDTF">2026-04-22T20:01:00Z</dcterms:modified>
</cp:coreProperties>
</file>