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2E5496"/>
          <w:sz w:val="30"/>
          <w:szCs w:val="30"/>
        </w:rPr>
        <w:t xml:space="preserve">CollectionR</w:t>
      </w:r>
    </w:p>
    <w:p>
      <w:pPr>
        <w:spacing w:after="0" w:before="240"/>
      </w:pPr>
      <w:r>
        <w:rPr>
          <w:b/>
          <w:bCs/>
          <w:color w:val="1F3864"/>
          <w:sz w:val="56"/>
          <w:szCs w:val="56"/>
        </w:rPr>
        <w:t xml:space="preserve">Rapport de vérification</w:t>
      </w:r>
    </w:p>
    <w:p>
      <w:pPr>
        <w:spacing w:after="0" w:before="80"/>
      </w:pPr>
      <w:r>
        <w:rPr>
          <w:b/>
          <w:bCs/>
          <w:color w:val="1F3864"/>
          <w:sz w:val="36"/>
          <w:szCs w:val="36"/>
        </w:rPr>
        <w:t xml:space="preserve">Microservice TCG — pipelines API &amp; Scraping</w:t>
      </w:r>
    </w:p>
    <w:p>
      <w:pPr>
        <w:pBdr>
          <w:bottom w:val="single" w:color="2E5496" w:sz="12" w:space="8"/>
        </w:pBdr>
        <w:spacing w:after="0" w:before="120"/>
      </w:pPr>
      <w:r>
        <w:rPr>
          <w:i/>
          <w:iCs/>
          <w:color w:val="595959"/>
          <w:sz w:val="24"/>
          <w:szCs w:val="24"/>
        </w:rPr>
        <w:t xml:space="preserve">Validation des choix techniques avant le début du développement</w:t>
      </w:r>
    </w:p>
    <w:p>
      <w:pPr>
        <w:spacing w:after="0" w:before="600"/>
      </w:pPr>
      <w:r>
        <w:rPr>
          <w:color w:val="404040"/>
          <w:sz w:val="22"/>
          <w:szCs w:val="22"/>
        </w:rPr>
        <w:t xml:space="preserve">Périmètre : accessibilité, limites et CGU des APIs tierces (TCGDex, Cardmarket, eBay, TCGPlayer) ; stratégie API-first + fallback scraping ; cohérence des workers avec l'architecture runtime.</w:t>
      </w:r>
    </w:p>
    <w:p>
      <w:pPr>
        <w:spacing w:after="0" w:before="700"/>
      </w:pPr>
      <w:r>
        <w:rPr>
          <w:b/>
          <w:bCs/>
          <w:sz w:val="22"/>
          <w:szCs w:val="22"/>
        </w:rPr>
        <w:t xml:space="preserve">Auteur : </w:t>
      </w:r>
      <w:r>
        <w:rPr>
          <w:sz w:val="22"/>
          <w:szCs w:val="22"/>
        </w:rPr>
        <w:t xml:space="preserve">Théo Ricci</w:t>
      </w:r>
    </w:p>
    <w:p>
      <w:pPr>
        <w:spacing w:after="0"/>
      </w:pPr>
      <w:r>
        <w:rPr>
          <w:b/>
          <w:bCs/>
          <w:sz w:val="22"/>
          <w:szCs w:val="22"/>
        </w:rPr>
        <w:t xml:space="preserve">Date : </w:t>
      </w:r>
      <w:r>
        <w:rPr>
          <w:sz w:val="22"/>
          <w:szCs w:val="22"/>
        </w:rPr>
        <w:t xml:space="preserve">15 juin 2026</w:t>
      </w:r>
    </w:p>
    <w:p>
      <w:pPr>
        <w:spacing w:after="0"/>
      </w:pPr>
      <w:r>
        <w:rPr>
          <w:b/>
          <w:bCs/>
          <w:sz w:val="22"/>
          <w:szCs w:val="22"/>
        </w:rPr>
        <w:t xml:space="preserve">Méthode : </w:t>
      </w:r>
      <w:r>
        <w:rPr>
          <w:sz w:val="22"/>
          <w:szCs w:val="22"/>
        </w:rPr>
        <w:t xml:space="preserve">recherche web datée (juin 2026) + vérification adversariale indépendante, croisée avec la documentation du dépôt.</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spacing w:after="120" w:before="0" w:line="276"/>
      </w:pPr>
      <w:r>
        <w:rPr>
          <w:b/>
          <w:bCs/>
        </w:rPr>
        <w:t xml:space="preserve">Verdict global : </w:t>
      </w:r>
      <w:r>
        <w:rPr>
          <w:b/>
          <w:bCs/>
          <w:color w:val="9C3A12"/>
        </w:rPr>
        <w:t xml:space="preserve">À CORRIGER avant le démarrage du développement.</w:t>
      </w:r>
    </w:p>
    <w:p>
      <w:pPr>
        <w:spacing w:after="120" w:before="0" w:line="276"/>
      </w:pPr>
      <w:r>
        <w:t xml:space="preserve">La stratégie d'architecture du microservice TCG est conceptuellement saine (API-first, séparation worker/backend, PostgreSQL source de vérité, planification par cron/Redis) et les outils de scraping retenus sont les bons choix, valides et maintenus en 2026. Cependant, la vérification fait apparaître trois écarts structurants qui doivent être tranchés avant le développement :</w:t>
      </w:r>
    </w:p>
    <w:p>
      <w:pPr>
        <w:pStyle w:val="ListParagraph"/>
        <w:numPr>
          <w:ilvl w:val="0"/>
          <w:numId w:val="2"/>
        </w:numPr>
        <w:spacing w:after="120" w:before="0" w:line="276"/>
      </w:pPr>
      <w:r>
        <w:rPr>
          <w:b/>
          <w:bCs/>
        </w:rPr>
        <w:t xml:space="preserve">Accès aux marketplaces irréaliste. </w:t>
      </w:r>
      <w:r>
        <w:t xml:space="preserve">Les trois APIs de prix retenues sont en réalité inaccessibles ou restreintes pour un projet comme CollectionR : TCGPlayer a fermé son API publique aux nouveaux développeurs (fin 2024), la Finding API d'eBay est décommissionnée (févr. 2025) et les ventes terminées ne sont accessibles que via une API en accès restreint, et les CGU de Cardmarket interdisent précisément l'usage prévu (présenter prix et cartes sur un service tiers) sans accord écrit.</w:t>
      </w:r>
    </w:p>
    <w:p>
      <w:pPr>
        <w:pStyle w:val="ListParagraph"/>
        <w:numPr>
          <w:ilvl w:val="0"/>
          <w:numId w:val="2"/>
        </w:numPr>
        <w:spacing w:after="120" w:before="0" w:line="276"/>
      </w:pPr>
      <w:r>
        <w:rPr>
          <w:b/>
          <w:bCs/>
        </w:rPr>
        <w:t xml:space="preserve">Worker TCG Prediction manquant. </w:t>
      </w:r>
      <w:r>
        <w:t xml:space="preserve">L'architecture runtime ne définit que deux workers TCG (API et Scraping). Le troisième attendu, « Worker TCG Prediction », n'apparaît nulle part dans le flux runtime ; la prédiction de prix n'existe que sous forme de service Python /predict-price dans clean-architecture.md.</w:t>
      </w:r>
    </w:p>
    <w:p>
      <w:pPr>
        <w:pStyle w:val="ListParagraph"/>
        <w:numPr>
          <w:ilvl w:val="0"/>
          <w:numId w:val="2"/>
        </w:numPr>
        <w:spacing w:after="120" w:before="0" w:line="276"/>
      </w:pPr>
      <w:r>
        <w:rPr>
          <w:b/>
          <w:bCs/>
        </w:rPr>
        <w:t xml:space="preserve">Stack et nommage non tranchés. </w:t>
      </w:r>
      <w:r>
        <w:t xml:space="preserve">Le langage du worker de collecte (Python vs Node.js) est contradictoire entre les documents, et le worker « Scraping » contredit l'approche API-first affichée.</w:t>
      </w:r>
    </w:p>
    <w:p>
      <w:pPr>
        <w:spacing w:after="120" w:before="60" w:line="276"/>
      </w:pPr>
      <w:r>
        <w:t xml:space="preserve">Point positif : l'API TCGDex (métadonnées) est pleinement opérationnelle, gratuite et sans clé, et la stratégie de synchronisation vers PostgreSQL est alignée avec les bonnes pratiques. Les outils Requests/BeautifulSoup/Playwright sont validés pour 2026.</w:t>
      </w:r>
    </w:p>
    <w:p>
      <w:pPr>
        <w:pStyle w:val="Heading2"/>
      </w:pPr>
      <w:r>
        <w:t xml:space="preserve">1.1 Tableau de synthèse par point de vérification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3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Point de vérification</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Statut</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Commentaire</w:t>
            </w:r>
          </w:p>
        </w:tc>
      </w:tr>
      <w:tr>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1. APIs tierces accessibles et dans leurs limites (TCGDex, Cardmarket, eBay, TCGPlayer)</w:t>
            </w:r>
          </w:p>
        </w:tc>
        <w:tc>
          <w:tcPr>
            <w:tcW w:type="dxa" w:w="15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TCGDex OK (réserves). Cardmarket, eBay et TCGPlayer restreints ou fermés pour le cas d'usage CollectionR.</w:t>
            </w:r>
          </w:p>
        </w:tc>
      </w:tr>
      <w:tr>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2. Validation stratégie API-first + fallback scraping (Requests/BS4, Playwright)</w:t>
            </w:r>
          </w:p>
        </w:tc>
        <w:tc>
          <w:tcPr>
            <w:tcW w:type="dxa" w:w="15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Outils valides et maintenus en 2026, mais les cibles sont inaccessibles/restreintes et le scraping de fallback viole les CGU.</w:t>
            </w:r>
          </w:p>
        </w:tc>
      </w:tr>
      <w:tr>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3. Cohérence des workers runtime (TCG API, TCG Scraping, TCG Prediction)</w:t>
            </w:r>
          </w:p>
        </w:tc>
        <w:tc>
          <w:tcPr>
            <w:tcW w:type="dxa" w:w="1500"/>
            <w:tcBorders>
              <w:top w:val="single" w:color="BFBFBF" w:sz="1"/>
              <w:left w:val="single" w:color="BFBFBF" w:sz="1"/>
              <w:bottom w:val="single" w:color="BFBFBF" w:sz="1"/>
              <w:right w:val="single" w:color="BFBFBF" w:sz="1"/>
            </w:tcBorders>
            <w:shd w:fill="F8CBAD" w:val="clear"/>
            <w:tcMar>
              <w:top w:type="dxa" w:w="60"/>
              <w:left w:type="dxa" w:w="110"/>
              <w:bottom w:type="dxa" w:w="60"/>
              <w:right w:type="dxa" w:w="110"/>
            </w:tcMar>
            <w:vAlign w:val="center"/>
          </w:tcPr>
          <w:p>
            <w:pPr>
              <w:spacing w:after="0" w:before="0" w:line="276"/>
              <w:jc w:val="center"/>
            </w:pPr>
            <w:r>
              <w:rPr>
                <w:b/>
                <w:bCs/>
                <w:color w:val="9C3A12"/>
                <w:sz w:val="19"/>
                <w:szCs w:val="19"/>
              </w:rPr>
              <w:t xml:space="preserve">Manquant</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Worker TCG Prediction absent de l'archi runtime. Nommage « Scraping » incohérent avec l'API-first. Stack Python vs Node non tranchée.</w:t>
            </w:r>
          </w:p>
        </w:tc>
      </w:tr>
      <w:tr>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4. Évolution des CGU des APIs et marketplaces</w:t>
            </w:r>
          </w:p>
        </w:tc>
        <w:tc>
          <w:tcPr>
            <w:tcW w:type="dxa" w:w="15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Toutes les marketplaces ont évolué défavorablement (dépréciations, fermetures, durcissement des CGU 2024-2026).</w:t>
            </w:r>
          </w:p>
        </w:tc>
      </w:tr>
      <w:tr>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5. Mise à jour des documents si écart constaté</w:t>
            </w:r>
          </w:p>
        </w:tc>
        <w:tc>
          <w:tcPr>
            <w:tcW w:type="dxa" w:w="15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Partiel</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2 corrections mécaniques appliquées (cron, URL image). Les corrections structurantes attendent une décision d'équipe.</w:t>
            </w:r>
          </w:p>
        </w:tc>
      </w:tr>
      <w:tr>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6. Rapport de vérification synthétique (OK / À corriger / Manquant)</w:t>
            </w:r>
          </w:p>
        </w:tc>
        <w:tc>
          <w:tcPr>
            <w:tcW w:type="dxa" w:w="1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Présent document, basé sur recherche web (juin 2026) + vérification adversariale.</w:t>
            </w:r>
          </w:p>
        </w:tc>
      </w:tr>
    </w:tbl>
    <w:p>
      <w:pPr>
        <w:spacing w:after="120" w:before="100" w:line="276"/>
      </w:pPr>
      <w:r>
        <w:rPr>
          <w:i/>
          <w:iCs/>
          <w:color w:val="595959"/>
          <w:sz w:val="18"/>
          <w:szCs w:val="18"/>
        </w:rPr>
        <w:t xml:space="preserve">Légende — </w:t>
      </w:r>
      <w:r>
        <w:rPr>
          <w:b/>
          <w:bCs/>
          <w:color w:val="1E6B2F"/>
          <w:sz w:val="18"/>
          <w:szCs w:val="18"/>
        </w:rPr>
        <w:t xml:space="preserve">OK</w:t>
      </w:r>
      <w:r>
        <w:rPr>
          <w:color w:val="595959"/>
          <w:sz w:val="18"/>
          <w:szCs w:val="18"/>
        </w:rPr>
        <w:t xml:space="preserve"> : conforme. </w:t>
      </w:r>
      <w:r>
        <w:rPr>
          <w:b/>
          <w:bCs/>
          <w:color w:val="8A6100"/>
          <w:sz w:val="18"/>
          <w:szCs w:val="18"/>
        </w:rPr>
        <w:t xml:space="preserve">À corriger</w:t>
      </w:r>
      <w:r>
        <w:rPr>
          <w:color w:val="595959"/>
          <w:sz w:val="18"/>
          <w:szCs w:val="18"/>
        </w:rPr>
        <w:t xml:space="preserve"> : écart à traiter. </w:t>
      </w:r>
      <w:r>
        <w:rPr>
          <w:b/>
          <w:bCs/>
          <w:color w:val="9C3A12"/>
          <w:sz w:val="18"/>
          <w:szCs w:val="18"/>
        </w:rPr>
        <w:t xml:space="preserve">Manquant</w:t>
      </w:r>
      <w:r>
        <w:rPr>
          <w:color w:val="595959"/>
          <w:sz w:val="18"/>
          <w:szCs w:val="18"/>
        </w:rPr>
        <w:t xml:space="preserve"> : élément attendu absent. </w:t>
      </w:r>
      <w:r>
        <w:rPr>
          <w:b/>
          <w:bCs/>
          <w:color w:val="8A6100"/>
          <w:sz w:val="18"/>
          <w:szCs w:val="18"/>
        </w:rPr>
        <w:t xml:space="preserve">Partiel</w:t>
      </w:r>
      <w:r>
        <w:rPr>
          <w:color w:val="595959"/>
          <w:sz w:val="18"/>
          <w:szCs w:val="18"/>
        </w:rPr>
        <w:t xml:space="preserve"> : partiellement traité.</w:t>
      </w:r>
    </w:p>
    <w:p>
      <w:r>
        <w:br w:type="page"/>
      </w:r>
    </w:p>
    <w:p>
      <w:pPr>
        <w:pStyle w:val="Heading1"/>
      </w:pPr>
      <w:r>
        <w:t xml:space="preserve">2. Livrable 1 — Accessibilité, limites et CGU des APIs tierces</w:t>
      </w:r>
    </w:p>
    <w:p>
      <w:pPr>
        <w:spacing w:after="120" w:before="0" w:line="276"/>
      </w:pPr>
      <w:r>
        <w:t xml:space="preserve">Vérification menée en juin 2026 par recherche web sur les sources primaires (documentation officielle, FAQ, CGU) puis re-vérification adversariale indépendante. Synthèse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API</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Accessible</w:t>
            </w:r>
          </w:p>
        </w:tc>
        <w:tc>
          <w:tcPr>
            <w:tcW w:type="dxa" w:w="5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Verdict / point clé</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9"/>
                <w:szCs w:val="19"/>
              </w:rPr>
              <w:t xml:space="preserve">TCGDex (métadonnées cartes)</w:t>
            </w:r>
          </w:p>
        </w:tc>
        <w:tc>
          <w:tcPr>
            <w:tcW w:type="dxa" w:w="1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sz w:val="18"/>
                <w:szCs w:val="18"/>
              </w:rPr>
              <w:t xml:space="preserve">Accessible</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Opérationnelle ; 3 corrections doc (exemple, multilingue, licence).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9"/>
                <w:szCs w:val="19"/>
              </w:rPr>
              <w:t xml:space="preserve">Cardmarket API (prix Europe)</w:t>
            </w:r>
          </w:p>
        </w:tc>
        <w:tc>
          <w:tcPr>
            <w:tcW w:type="dxa" w:w="15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sz w:val="18"/>
                <w:szCs w:val="18"/>
              </w:rPr>
              <w:t xml:space="preserve">Restreint</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CGU interdisent l'usage tiers sans accord écrit ; compte vendeur pro requis.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9"/>
                <w:szCs w:val="19"/>
              </w:rPr>
              <w:t xml:space="preserve">eBay API (prix mondial / ventes)</w:t>
            </w:r>
          </w:p>
        </w:tc>
        <w:tc>
          <w:tcPr>
            <w:tcW w:type="dxa" w:w="15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sz w:val="18"/>
                <w:szCs w:val="18"/>
              </w:rPr>
              <w:t xml:space="preserve">Restreint</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Finding API morte ; ventes terminées en accès restreint ; bots interdits.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9"/>
                <w:szCs w:val="19"/>
              </w:rPr>
              <w:t xml:space="preserve">TCGPlayer API (prix USA)</w:t>
            </w:r>
          </w:p>
        </w:tc>
        <w:tc>
          <w:tcPr>
            <w:tcW w:type="dxa" w:w="1500"/>
            <w:tcBorders>
              <w:top w:val="single" w:color="BFBFBF" w:sz="1"/>
              <w:left w:val="single" w:color="BFBFBF" w:sz="1"/>
              <w:bottom w:val="single" w:color="BFBFBF" w:sz="1"/>
              <w:right w:val="single" w:color="BFBFBF" w:sz="1"/>
            </w:tcBorders>
            <w:shd w:fill="F8CBAD" w:val="clear"/>
            <w:tcMar>
              <w:top w:type="dxa" w:w="60"/>
              <w:left w:type="dxa" w:w="110"/>
              <w:bottom w:type="dxa" w:w="60"/>
              <w:right w:type="dxa" w:w="110"/>
            </w:tcMar>
            <w:vAlign w:val="center"/>
          </w:tcPr>
          <w:p>
            <w:pPr>
              <w:spacing w:after="0" w:before="0" w:line="276"/>
              <w:jc w:val="center"/>
            </w:pPr>
            <w:r>
              <w:rPr>
                <w:sz w:val="18"/>
                <w:szCs w:val="18"/>
              </w:rPr>
              <w:t xml:space="preserve">Fermé</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Programme API fermé aux nouveaux développeurs depuis fin 2024.</w:t>
            </w:r>
          </w:p>
        </w:tc>
      </w:tr>
    </w:tbl>
    <w:p>
      <w:pPr>
        <w:pStyle w:val="Heading2"/>
      </w:pPr>
      <w:r>
        <w:t xml:space="preserve">2.1 TCGDex (métadonnées cartes)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Accessible (juin 2026)</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Oui. API en ligne, version v2 stable (pas de v3), REST + GraphQL, &gt; 10 M req/mois. Appels directs vérifiés.</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Authentification</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Aucune : publique, gratuite, sans clé API ni compte. Confirmé par la FAQ officielle.</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Limites d'utilisation</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Aucun rate limit dur publié ; recommandation officielle de cache local — alignée avec la stratégie « sync → PostgreSQL ».</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CGU / licence</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Données sous licence MIT (usage commercial OK avec attribution). MAIS images et marques Pokémon = propriété Nintendo / The Pokémon Company : risque PI sur la redistribution des visuels.</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Écarts à corriger dans externe-api.md</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(1) Exemple JSON faux : swsh3-136 n'est PAS Charizard mais « Furret » (hp 110, Colorless). (2) Multilingue « EN/FR/JP » trompeur : JP ≈ 42 % seulement (404 fréquents). (3) Ajouter la note licence MIT + PI Nintendo.</w:t>
            </w:r>
          </w:p>
        </w:tc>
      </w:tr>
    </w:tbl>
    <w:p>
      <w:pPr>
        <w:spacing w:after="120" w:before="80" w:line="276"/>
      </w:pPr>
      <w:r>
        <w:rPr>
          <w:b/>
          <w:bCs/>
        </w:rPr>
        <w:t xml:space="preserve">Verdict : </w:t>
      </w:r>
      <w:r>
        <w:rPr>
          <w:b/>
          <w:bCs/>
          <w:color w:val="8A6100"/>
        </w:rPr>
        <w:t xml:space="preserve">À corriger</w:t>
      </w:r>
    </w:p>
    <w:p>
      <w:pPr>
        <w:pStyle w:val="Heading2"/>
      </w:pPr>
      <w:r>
        <w:t xml:space="preserve">2.2 Cardmarket API (prix Europe)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Accessible (juin 2026)</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Techniquement en ligne, mais accès réservé aux vendeurs professionnels avec approbation manuelle. Un projet étudiant non-vendeur n'y a pas droit.</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Authentification</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OAuth 1.0a (HMAC-SHA1) + compte vendeur pro. Axios seul ne suffit pas : il faut une lib de signature OAuth1.</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Limites d'utilisation</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600 req/min ; 30 000 req Marketplace/jour (standard). Clause anti-abus visant explicitement les apps qui interrogent en boucle les prix publics.</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CGU / usage CollectionR</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INTERDIT en l'état : l'API ne peut servir qu'à gérer son propre contenu ; présenter cartes et prix sur un service tiers exige un accord écrit préalable. Scraping HTML non autorisé (anti-bot actif).</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Évolution récente</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Migration obligatoire vers apiv2.cardmarket.com / API 2.0 avant le 01/05/2026 ; arrêt des API 1.0 / 1.1 en septembre 2026.</w:t>
            </w:r>
          </w:p>
        </w:tc>
      </w:tr>
    </w:tbl>
    <w:p>
      <w:pPr>
        <w:spacing w:after="120" w:before="80" w:line="276"/>
      </w:pPr>
      <w:r>
        <w:rPr>
          <w:b/>
          <w:bCs/>
        </w:rPr>
        <w:t xml:space="preserve">Verdict : </w:t>
      </w:r>
      <w:r>
        <w:rPr>
          <w:b/>
          <w:bCs/>
          <w:color w:val="9C0006"/>
        </w:rPr>
        <w:t xml:space="preserve">Bloquant</w:t>
      </w:r>
    </w:p>
    <w:p>
      <w:pPr>
        <w:pStyle w:val="Heading2"/>
      </w:pPr>
      <w:r>
        <w:t xml:space="preserve">2.3 eBay API (prix mondial / ventes)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Accessible (juin 2026)</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Annonces ACTIVES : oui (Browse API). Ventes terminées / prix récents : NON via API publique standard.</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Authentification</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OAuth 2.0 obligatoire (App ID / Cert ID, client credentials pour les données publiques).</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Limites d'utilisation</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Browse API ≈ 5 000 appels/jour (par défaut, au niveau application). Chiffres exacts à confirmer.</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Point bloquant</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La Finding API (findCompletedItems) est DÉCOMMISSIONNÉE depuis le 05/02/2025. Les ventes terminées passent par la Marketplace Insights API, en « Limited Release » (accès au cas par cas, de fait inaccessible aux petits projets).</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CGU / usage CollectionR</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User agreement (en vigueur 20/02/2026) interdit les bots LLM/agents ; robots.txt = Disallow quasi total ; restrictions sur le stockage et l'usage « market-research » des prix. Scraping HTML interdit.</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Écart à corriger dans marketplace-scraper.md</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Remplacer « Finding API » par « Browse API » ; préciser que seules les annonces actives sont accessibles, pas l'historique des ventes.</w:t>
            </w:r>
          </w:p>
        </w:tc>
      </w:tr>
    </w:tbl>
    <w:p>
      <w:pPr>
        <w:spacing w:after="120" w:before="80" w:line="276"/>
      </w:pPr>
      <w:r>
        <w:rPr>
          <w:b/>
          <w:bCs/>
        </w:rPr>
        <w:t xml:space="preserve">Verdict : </w:t>
      </w:r>
      <w:r>
        <w:rPr>
          <w:b/>
          <w:bCs/>
          <w:color w:val="8A6100"/>
        </w:rPr>
        <w:t xml:space="preserve">À corriger</w:t>
      </w:r>
    </w:p>
    <w:p>
      <w:pPr>
        <w:pStyle w:val="Heading2"/>
      </w:pPr>
      <w:r>
        <w:t xml:space="preserve">2.4 TCGPlayer API (prix USA)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Accessible (juin 2026)</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NON. Le programme API public est fermé aux nouveaux développeurs depuis fin 2024. Doc officielle : « We are no longer granting new API access at this time. »</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Contexte</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TCGPlayer racheté par eBay (clôture 31/10/2022, ≈ 295 M$). Ancien portail developer.tcgplayer.com redirige (301) vers la doc ; aucun formulaire d'inscription actif.</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Authentification</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Clé (PUBLIC_KEY/PRIVATE_KEY) → Bearer OAuth, pour les détenteurs existants uniquement. Aucune voie pour un nouveau projet.</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CGU / usage CollectionR</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ToS toujours en vigueur (attribution, restrictions). Sans clé valide, l'API est inutilisable ; le scraping/contournement expose à un risque juridique.</w:t>
            </w:r>
          </w:p>
        </w:tc>
      </w:tr>
      <w:tr>
        <w:tc>
          <w:tcPr>
            <w:tcW w:type="dxa" w:w="250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line="276"/>
            </w:pPr>
            <w:r>
              <w:rPr>
                <w:b/>
                <w:bCs/>
                <w:sz w:val="18"/>
                <w:szCs w:val="18"/>
              </w:rPr>
              <w:t xml:space="preserve">Écart à corriger</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9"/>
                <w:szCs w:val="19"/>
              </w:rPr>
              <w:t xml:space="preserve">Toute affirmation « on peut demander une clé TCGPlayer » est fausse. Prévoir une source alternative (voir recommandations).</w:t>
            </w:r>
          </w:p>
        </w:tc>
      </w:tr>
    </w:tbl>
    <w:p>
      <w:pPr>
        <w:spacing w:after="120" w:before="80" w:line="276"/>
      </w:pPr>
      <w:r>
        <w:rPr>
          <w:b/>
          <w:bCs/>
        </w:rPr>
        <w:t xml:space="preserve">Verdict : </w:t>
      </w:r>
      <w:r>
        <w:rPr>
          <w:b/>
          <w:bCs/>
          <w:color w:val="9C0006"/>
        </w:rPr>
        <w:t xml:space="preserve">Bloquant</w:t>
      </w:r>
    </w:p>
    <w:p>
      <w:pPr>
        <w:pStyle w:val="Heading2"/>
      </w:pPr>
      <w:r>
        <w:t xml:space="preserve">2.5 Alternatives recommandées pour les prix</w:t>
      </w:r>
    </w:p>
    <w:p>
      <w:pPr>
        <w:spacing w:after="120" w:before="0" w:line="276"/>
      </w:pPr>
      <w:r>
        <w:t xml:space="preserve">Les trois marketplaces initialement retenues n'étant pas exploitables en l'état pour un projet non-marchand, les sources suivantes constituent des solutions de repli réalistes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Source</w:t>
            </w:r>
          </w:p>
        </w:tc>
        <w:tc>
          <w:tcPr>
            <w:tcW w:type="dxa" w:w="3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Données</w:t>
            </w:r>
          </w:p>
        </w:tc>
        <w:tc>
          <w:tcPr>
            <w:tcW w:type="dxa" w:w="2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Accès / coût</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pokemontcg.io (Pokémon TCG API)</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Métadonnées + images cartes, prix TCGPlayer/Cardmarket agrégés</w:t>
            </w:r>
          </w:p>
        </w:tc>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Gratuite, clé sur dev.pokemontcg.io (20 000 req/j ; 1 000/j sans clé)</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JustTCG</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Prix multi-jeux dont Pokémon (20 k+ cartes)</w:t>
            </w:r>
          </w:p>
        </w:tc>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Self-service immédiat ; gratuit jusqu'à 1 000 appels/mois puis payant (19/49/149 $)</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TCGdex</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Métadonnées + images (déjà retenu)</w:t>
            </w:r>
          </w:p>
        </w:tc>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Gratuite, sans clé, MIT</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PokeTrace / pokemon-api.com / PokeWallet</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Prix multi-sources (TCGPlayer, eBay, Cardmarket)</w:t>
            </w:r>
          </w:p>
        </w:tc>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Commerciales — vérifier ToS et tarifs</w:t>
            </w:r>
          </w:p>
        </w:tc>
      </w:tr>
    </w:tbl>
    <w:p>
      <w:r>
        <w:br w:type="page"/>
      </w:r>
    </w:p>
    <w:p>
      <w:pPr>
        <w:pStyle w:val="Heading1"/>
      </w:pPr>
      <w:r>
        <w:t xml:space="preserve">3. Livrable 2 — Validation de la stratégie API-first + fallback scraping</w:t>
      </w:r>
    </w:p>
    <w:p>
      <w:pPr>
        <w:spacing w:after="120" w:before="0" w:line="276"/>
      </w:pPr>
      <w:r>
        <w:rPr>
          <w:b/>
          <w:bCs/>
        </w:rPr>
        <w:t xml:space="preserve">Verdict : </w:t>
      </w:r>
      <w:r>
        <w:rPr>
          <w:b/>
          <w:bCs/>
          <w:color w:val="8A6100"/>
        </w:rPr>
        <w:t xml:space="preserve">À corriger</w:t>
      </w:r>
      <w:r>
        <w:t xml:space="preserve"> — stratégie et outils sains, mais hypothèses d'accès et volet légal erronés.</w:t>
      </w:r>
    </w:p>
    <w:p>
      <w:pPr>
        <w:pStyle w:val="Heading2"/>
      </w:pPr>
      <w:r>
        <w:t xml:space="preserve">3.1 Outils retenus (validés pour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Outil</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Statut</w:t>
            </w:r>
          </w:p>
        </w:tc>
        <w:tc>
          <w:tcPr>
            <w:tcW w:type="dxa" w:w="5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Constat (juin 2026)</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Requests</w:t>
            </w:r>
          </w:p>
        </w:tc>
        <w:tc>
          <w:tcPr>
            <w:tcW w:type="dxa" w:w="14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v2.34.2 — stable mais en « feature freeze » (correctifs uniquement). Alternatives httpx/niquests pour l'async/HTTP-2.</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BeautifulSoup4</w:t>
            </w:r>
          </w:p>
        </w:tc>
        <w:tc>
          <w:tcPr>
            <w:tcW w:type="dxa" w:w="14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v4.15.0 — sain, 0 vulnérabilité connue. Adapté au parsing HTML statique.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Playwright (Python)</w:t>
            </w:r>
          </w:p>
        </w:tc>
        <w:tc>
          <w:tcPr>
            <w:tcW w:type="dxa" w:w="14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v1.60.0 — activement maintenu. ~42 % plus rapide et 0,8 % de flake vs 4,1 % pour Selenium : choix Playwright &gt; Selenium justifié.</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Scrapy / Selenium</w:t>
            </w:r>
          </w:p>
        </w:tc>
        <w:tc>
          <w:tcPr>
            <w:tcW w:type="dxa" w:w="14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Correctement écartés pour un fallback (Scrapy = volumétrie massive ; Selenium plus lourd). Statut à uniformiser entre les 2 docs.</w:t>
            </w:r>
          </w:p>
        </w:tc>
      </w:tr>
    </w:tbl>
    <w:p>
      <w:pPr>
        <w:pStyle w:val="Heading2"/>
      </w:pPr>
      <w:r>
        <w:t xml:space="preserve">3.2 Failles de la stratégie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FFC107" w:sz="1"/>
              <w:left w:val="single" w:color="FFC107" w:sz="18"/>
              <w:bottom w:val="single" w:color="FFC107" w:sz="1"/>
              <w:right w:val="single" w:color="FFC107" w:sz="1"/>
            </w:tcBorders>
            <w:shd w:fill="FFF3CD" w:val="clear"/>
            <w:tcMar>
              <w:top w:type="dxa" w:w="100"/>
              <w:left w:type="dxa" w:w="160"/>
              <w:bottom w:type="dxa" w:w="100"/>
              <w:right w:type="dxa" w:w="140"/>
            </w:tcMar>
          </w:tcPr>
          <w:p>
            <w:pPr>
              <w:spacing w:after="80" w:before="0" w:line="276"/>
            </w:pPr>
            <w:r>
              <w:rPr>
                <w:sz w:val="19"/>
                <w:szCs w:val="19"/>
              </w:rPr>
              <w:t xml:space="preserve">Deux hypothèses fausses et un risque juridique sous-estimé :</w:t>
            </w:r>
          </w:p>
          <w:p>
            <w:pPr>
              <w:pStyle w:val="ListParagraph"/>
              <w:numPr>
                <w:ilvl w:val="0"/>
                <w:numId w:val="2"/>
              </w:numPr>
              <w:spacing w:after="80" w:before="0" w:line="276"/>
            </w:pPr>
            <w:r>
              <w:rPr>
                <w:sz w:val="19"/>
                <w:szCs w:val="19"/>
              </w:rPr>
              <w:t xml:space="preserve">Cibles indisponibles : la stratégie suppose un accès API « ★★★★★ » à Cardmarket, eBay et TCGPlayer, qui n'existe pas pour CollectionR (cf. livrable 1).</w:t>
            </w:r>
          </w:p>
          <w:p>
            <w:pPr>
              <w:pStyle w:val="ListParagraph"/>
              <w:numPr>
                <w:ilvl w:val="0"/>
                <w:numId w:val="2"/>
              </w:numPr>
              <w:spacing w:after="80" w:before="0" w:line="276"/>
            </w:pPr>
            <w:r>
              <w:rPr>
                <w:sz w:val="19"/>
                <w:szCs w:val="19"/>
              </w:rPr>
              <w:t xml:space="preserve">Fallback scraping illégal : le doc qualifie le scraping de « légalement ambigu » ; or pour Cardmarket et eBay il est explicitement INTERDIT (CGU + robots.txt Disallow). La conclusion « solution respectueuse des CGU » est invalide si le fallback est activé sur ces sites.</w:t>
            </w:r>
          </w:p>
          <w:p>
            <w:pPr>
              <w:pStyle w:val="ListParagraph"/>
              <w:numPr>
                <w:ilvl w:val="0"/>
                <w:numId w:val="2"/>
              </w:numPr>
              <w:spacing w:after="0" w:before="0" w:line="276"/>
            </w:pPr>
            <w:r>
              <w:rPr>
                <w:sz w:val="19"/>
                <w:szCs w:val="19"/>
              </w:rPr>
              <w:t xml:space="preserve">Cadre légal UE : risque contractuel + droit sui generis des bases de données (Directive 96/9/CE) + RGPD/CNIL si données personnelles. Environnement anti-bot durci (Cloudflare bloque les crawlers IA depuis juillet 2025).</w:t>
            </w:r>
          </w:p>
        </w:tc>
      </w:tr>
    </w:tbl>
    <w:p>
      <w:pPr>
        <w:spacing w:after="120" w:before="80" w:line="276"/>
      </w:pPr>
      <w:r>
        <w:rPr>
          <w:b/>
          <w:bCs/>
        </w:rPr>
        <w:t xml:space="preserve">Recommandation : </w:t>
      </w:r>
      <w:r>
        <w:t xml:space="preserve">conserver l'approche API-first mais (1) trancher le langage du worker (reco : Python), (2) remplacer les cibles inaccessibles par des sources ouvertes, (3) réécrire honnêtement le volet légal — ne pas activer le scraping HTML de Cardmarket/eBay/TCGPlayer en production, le conserver comme capacité documentée (POC) sur des sources autorisées uniquement.</w:t>
      </w:r>
    </w:p>
    <w:p>
      <w:r>
        <w:br w:type="page"/>
      </w:r>
    </w:p>
    <w:p>
      <w:pPr>
        <w:pStyle w:val="Heading1"/>
      </w:pPr>
      <w:r>
        <w:t xml:space="preserve">4. Livrable 3 — Cohérence des workers avec l'architecture runtime</w:t>
      </w:r>
    </w:p>
    <w:p>
      <w:pPr>
        <w:spacing w:after="120" w:before="0" w:line="276"/>
      </w:pPr>
      <w:r>
        <w:t xml:space="preserve">L'architecture runtime (03-flux-techniques-plateforme.md) définit explicitement « deux workers dédiés » côté TCG :</w:t>
      </w:r>
    </w:p>
    <w:p>
      <w:pPr>
        <w:pStyle w:val="ListParagraph"/>
        <w:numPr>
          <w:ilvl w:val="0"/>
          <w:numId w:val="2"/>
        </w:numPr>
        <w:spacing w:after="120" w:before="0" w:line="276"/>
      </w:pPr>
      <w:r>
        <w:rPr>
          <w:b/>
          <w:bCs/>
        </w:rPr>
        <w:t xml:space="preserve">Worker TCG API</w:t>
      </w:r>
      <w:r>
        <w:t xml:space="preserve"> — interroge l'API externe TCG et enregistre les cartes en PostgreSQL.</w:t>
      </w:r>
    </w:p>
    <w:p>
      <w:pPr>
        <w:pStyle w:val="ListParagraph"/>
        <w:numPr>
          <w:ilvl w:val="0"/>
          <w:numId w:val="2"/>
        </w:numPr>
        <w:spacing w:after="120" w:before="0" w:line="276"/>
      </w:pPr>
      <w:r>
        <w:rPr>
          <w:b/>
          <w:bCs/>
        </w:rPr>
        <w:t xml:space="preserve">Worker TCG Scraping</w:t>
      </w:r>
      <w:r>
        <w:t xml:space="preserve"> — récupère les prix depuis les marketplaces et les écrit en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DC3545" w:sz="1"/>
              <w:left w:val="single" w:color="DC3545" w:sz="18"/>
              <w:bottom w:val="single" w:color="DC3545" w:sz="1"/>
              <w:right w:val="single" w:color="DC3545" w:sz="1"/>
            </w:tcBorders>
            <w:shd w:fill="F8D7DA" w:val="clear"/>
            <w:tcMar>
              <w:top w:type="dxa" w:w="100"/>
              <w:left w:type="dxa" w:w="160"/>
              <w:bottom w:type="dxa" w:w="100"/>
              <w:right w:type="dxa" w:w="140"/>
            </w:tcMar>
          </w:tcPr>
          <w:p>
            <w:pPr>
              <w:spacing w:after="80" w:before="0" w:line="276"/>
            </w:pPr>
            <w:r>
              <w:rPr>
                <w:sz w:val="19"/>
                <w:szCs w:val="19"/>
              </w:rPr>
              <w:t xml:space="preserve">Worker TCG Prediction : MANQUANT dans l'architecture runtime.</w:t>
            </w:r>
          </w:p>
          <w:p>
            <w:pPr>
              <w:spacing w:after="0" w:before="0" w:line="276"/>
            </w:pPr>
            <w:r>
              <w:rPr>
                <w:sz w:val="19"/>
                <w:szCs w:val="19"/>
              </w:rPr>
              <w:t xml:space="preserve">Le troisième worker attendu n'est défini ni en section 2, ni en section 6, ni au point critique 9.5. La prédiction de prix n'apparaît que dans clean-architecture.md sous forme d'un service Python exposé via /predict-price (PythonHttpPredictionAdapter / AIPricePredictionService). Il faut soit l'ajouter comme worker dans le flux runtime, soit clarifier qu'il s'agit d'un service synchrone appelé par l'API — et faire converger les deux documents.</w:t>
            </w:r>
          </w:p>
        </w:tc>
      </w:tr>
    </w:tbl>
    <w:p>
      <w:pPr>
        <w:spacing w:after="120" w:before="80" w:line="276"/>
      </w:pPr>
      <w:r>
        <w:t xml:space="preserve">Trois incohérences supplémentaires concernent les workers TCG (détail en section 6) :</w:t>
      </w:r>
    </w:p>
    <w:p>
      <w:pPr>
        <w:pStyle w:val="ListParagraph"/>
        <w:numPr>
          <w:ilvl w:val="0"/>
          <w:numId w:val="2"/>
        </w:numPr>
        <w:spacing w:after="120" w:before="0" w:line="276"/>
      </w:pPr>
      <w:r>
        <w:t xml:space="preserve">Nommage « Worker TCG Scraping » contradictoire avec l'approche API-first (la méthode principale est l'appel d'API).</w:t>
      </w:r>
    </w:p>
    <w:p>
      <w:pPr>
        <w:pStyle w:val="ListParagraph"/>
        <w:numPr>
          <w:ilvl w:val="0"/>
          <w:numId w:val="2"/>
        </w:numPr>
        <w:spacing w:after="120" w:before="0" w:line="276"/>
      </w:pPr>
      <w:r>
        <w:t xml:space="preserve">Langage du worker non tranché : Python (decision-technique, bibliothèque, clean-architecture) vs Node.js (marketplace-scraper).</w:t>
      </w:r>
    </w:p>
    <w:p>
      <w:pPr>
        <w:pStyle w:val="ListParagraph"/>
        <w:numPr>
          <w:ilvl w:val="0"/>
          <w:numId w:val="2"/>
        </w:numPr>
        <w:spacing w:after="120" w:before="0" w:line="276"/>
      </w:pPr>
      <w:r>
        <w:t xml:space="preserve">TCGDex, source TCG réelle, n'est jamais nommée dans le flux runtime, et le composant de synchronisation porte deux noms différents selon les documents.</w:t>
      </w:r>
    </w:p>
    <w:p>
      <w:r>
        <w:br w:type="page"/>
      </w:r>
    </w:p>
    <w:p>
      <w:pPr>
        <w:pStyle w:val="Heading1"/>
      </w:pPr>
      <w:r>
        <w:t xml:space="preserve">5. Livrable 4 — Évolution des CGU et des conditions d'accès</w:t>
      </w:r>
    </w:p>
    <w:p>
      <w:pPr>
        <w:spacing w:after="120" w:before="0" w:line="276"/>
      </w:pPr>
      <w:r>
        <w:rPr>
          <w:b/>
          <w:bCs/>
        </w:rPr>
        <w:t xml:space="preserve">Verdict : </w:t>
      </w:r>
      <w:r>
        <w:rPr>
          <w:b/>
          <w:bCs/>
          <w:color w:val="8A6100"/>
        </w:rPr>
        <w:t xml:space="preserve">À corriger</w:t>
      </w:r>
      <w:r>
        <w:t xml:space="preserve"> — toutes les marketplaces ont évolué défavorablement depuis la rédaction des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Plateforme</w:t>
            </w:r>
          </w:p>
        </w:tc>
        <w:tc>
          <w:tcPr>
            <w:tcW w:type="dxa" w:w="67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Évolution constatée (2024 – juin 2026)</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Cardmarket</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Migration obligatoire vers apiv2.cardmarket.com / API 2.0 avant le 01/05/2026 ; arrêt des API 1.0/1.1 en septembre 2026 ; accès toujours restreint aux vendeurs pro sous approbation manuelle.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eBay</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Finding API &amp; Shopping API dépréciées (04/01/2024) puis décommissionnées (05/02/2025) ; ventes terminées migrées vers Marketplace Insights (Limited Release) ; user agreement (20/02/2026) interdisant les bots LLM/agents ; API License Agreement durci (24/06/2025).</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TCGPlayer</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Racheté par eBay (2022) ; arrêt de l'acceptation de nouvelles demandes d'accès API (fin 2024) ; portail développeur redirigé ; clés existantes parfois dépréciées.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TCGDex</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Aucun changement de rupture : v2 stable, gratuite, sans clé. Développement actif (nouveaux sets 2026, SDK à jour). Licence MIT inchangée.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Environnement scraping</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Cloudflare bloque par défaut les crawlers IA (depuis juillet 2025) ; jurisprudence et guidance CNIL (2024-2025) renforçant le risque contractuel et RGPD du scraping.</w:t>
            </w:r>
          </w:p>
        </w:tc>
      </w:tr>
    </w:tbl>
    <w:p>
      <w:r>
        <w:br w:type="page"/>
      </w:r>
    </w:p>
    <w:p>
      <w:pPr>
        <w:pStyle w:val="Heading1"/>
      </w:pPr>
      <w:r>
        <w:t xml:space="preserve">6. Détail des écarts de cohérence documentaire</w:t>
      </w:r>
    </w:p>
    <w:p>
      <w:pPr>
        <w:spacing w:after="120" w:before="0" w:line="276"/>
      </w:pPr>
      <w:r>
        <w:t xml:space="preserve">Croisement des documents microservices (decision-technique, bibliothèque de scraping, externe-api, marketplace-scraper, collectionr-api) avec l'architecture runtime et la documentation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Sujet</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Statut</w:t>
            </w:r>
          </w:p>
        </w:tc>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Sévérité</w:t>
            </w:r>
          </w:p>
        </w:tc>
        <w:tc>
          <w:tcPr>
            <w:tcW w:type="dxa" w:w="357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Recommandation</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Définition des workers dans l'archi runtime (sections 2 &amp; 6)</w:t>
            </w:r>
          </w:p>
        </w:tc>
        <w:tc>
          <w:tcPr>
            <w:tcW w:type="dxa" w:w="13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1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before="0" w:line="276"/>
              <w:jc w:val="center"/>
            </w:pPr>
            <w:r>
              <w:rPr>
                <w:sz w:val="18"/>
                <w:szCs w:val="18"/>
              </w:rPr>
              <w:t xml:space="preserve">Info</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Deux workers TCG clairement définis et cohérents en interne (TCG API, TCG Scraping).</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Worker TCG Prediction absent de l'architecture runtime</w:t>
            </w:r>
          </w:p>
        </w:tc>
        <w:tc>
          <w:tcPr>
            <w:tcW w:type="dxa" w:w="1300"/>
            <w:tcBorders>
              <w:top w:val="single" w:color="BFBFBF" w:sz="1"/>
              <w:left w:val="single" w:color="BFBFBF" w:sz="1"/>
              <w:bottom w:val="single" w:color="BFBFBF" w:sz="1"/>
              <w:right w:val="single" w:color="BFBFBF" w:sz="1"/>
            </w:tcBorders>
            <w:shd w:fill="F8CBAD" w:val="clear"/>
            <w:tcMar>
              <w:top w:type="dxa" w:w="60"/>
              <w:left w:type="dxa" w:w="110"/>
              <w:bottom w:type="dxa" w:w="60"/>
              <w:right w:type="dxa" w:w="110"/>
            </w:tcMar>
            <w:vAlign w:val="center"/>
          </w:tcPr>
          <w:p>
            <w:pPr>
              <w:spacing w:after="0" w:before="0" w:line="276"/>
              <w:jc w:val="center"/>
            </w:pPr>
            <w:r>
              <w:rPr>
                <w:b/>
                <w:bCs/>
                <w:color w:val="9C3A12"/>
                <w:sz w:val="19"/>
                <w:szCs w:val="19"/>
              </w:rPr>
              <w:t xml:space="preserve">Manquant</w:t>
            </w:r>
          </w:p>
        </w:tc>
        <w:tc>
          <w:tcPr>
            <w:tcW w:type="dxa" w:w="11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sz w:val="18"/>
                <w:szCs w:val="18"/>
              </w:rPr>
              <w:t xml:space="preserve">Majeur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La prédiction de prix n'existe que dans clean-architecture.md (service Python /predict-price). À ajouter au flux runtime ou clarifier son statut (service synchrone vs worker).</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Nommage « Worker TCG Scraping » vs approche API-first</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sz w:val="18"/>
                <w:szCs w:val="18"/>
              </w:rPr>
              <w:t xml:space="preserve">Majeur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Le worker nommé « Scraping » a pour méthode principale l'appel d'API. Renommer en « Worker TCG Prix / Marketplace » et reformuler le label « Scraping prix ».</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Contradiction de stack : Python vs Node pour le worker de prix</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F4B0A0" w:val="clear"/>
            <w:tcMar>
              <w:top w:type="dxa" w:w="60"/>
              <w:left w:type="dxa" w:w="110"/>
              <w:bottom w:type="dxa" w:w="60"/>
              <w:right w:type="dxa" w:w="110"/>
            </w:tcMar>
            <w:vAlign w:val="center"/>
          </w:tcPr>
          <w:p>
            <w:pPr>
              <w:spacing w:after="0" w:before="0" w:line="276"/>
              <w:jc w:val="center"/>
            </w:pPr>
            <w:r>
              <w:rPr>
                <w:sz w:val="18"/>
                <w:szCs w:val="18"/>
              </w:rPr>
              <w:t xml:space="preserve">Bloquant</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decision-technique + bibliothèque + clean-architecture = Python ; marketplace-scraper raisonne en Node. Trancher un langage unique (reco : Python) et l'inscrire dans l'archi runtime.</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TCGDex absent du document d'architecture runtime</w:t>
            </w:r>
          </w:p>
        </w:tc>
        <w:tc>
          <w:tcPr>
            <w:tcW w:type="dxa" w:w="1300"/>
            <w:tcBorders>
              <w:top w:val="single" w:color="BFBFBF" w:sz="1"/>
              <w:left w:val="single" w:color="BFBFBF" w:sz="1"/>
              <w:bottom w:val="single" w:color="BFBFBF" w:sz="1"/>
              <w:right w:val="single" w:color="BFBFBF" w:sz="1"/>
            </w:tcBorders>
            <w:shd w:fill="F8CBAD" w:val="clear"/>
            <w:tcMar>
              <w:top w:type="dxa" w:w="60"/>
              <w:left w:type="dxa" w:w="110"/>
              <w:bottom w:type="dxa" w:w="60"/>
              <w:right w:type="dxa" w:w="110"/>
            </w:tcMar>
            <w:vAlign w:val="center"/>
          </w:tcPr>
          <w:p>
            <w:pPr>
              <w:spacing w:after="0" w:before="0" w:line="276"/>
              <w:jc w:val="center"/>
            </w:pPr>
            <w:r>
              <w:rPr>
                <w:b/>
                <w:bCs/>
                <w:color w:val="9C3A12"/>
                <w:sz w:val="19"/>
                <w:szCs w:val="19"/>
              </w:rPr>
              <w:t xml:space="preserve">Manquant</w:t>
            </w:r>
          </w:p>
        </w:tc>
        <w:tc>
          <w:tcPr>
            <w:tcW w:type="dxa" w:w="11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sz w:val="18"/>
                <w:szCs w:val="18"/>
              </w:rPr>
              <w:t xml:space="preserve">Majeur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externe-api.md s'appuie sur TCGDex, jamais nommé dans le flux runtime (acteur générique « API Externe TCG »). Lier TCGDex au « Worker TCG API ».</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Terminologie « Worker de synchronisation » vs « Worker TCG API »</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Deux noms pour le même composant (externe-api.md vs flux runtime). Unifier.</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Backend : « NestJS » vs « TypeScript/Fastify »</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sz w:val="18"/>
                <w:szCs w:val="18"/>
              </w:rPr>
              <w:t xml:space="preserve">Majeur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marketplace-scraper + runtime disent NestJS ; clean-architecture dit Fastify. Écrire « NestJS (adaptateur Fastify) » partout (comme CONVENTIONS.md).</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Champ « language » manquant dans les modèles Prisma de prix</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F4B0A0" w:val="clear"/>
            <w:tcMar>
              <w:top w:type="dxa" w:w="60"/>
              <w:left w:type="dxa" w:w="110"/>
              <w:bottom w:type="dxa" w:w="60"/>
              <w:right w:type="dxa" w:w="110"/>
            </w:tcMar>
            <w:vAlign w:val="center"/>
          </w:tcPr>
          <w:p>
            <w:pPr>
              <w:spacing w:after="0" w:before="0" w:line="276"/>
              <w:jc w:val="center"/>
            </w:pPr>
            <w:r>
              <w:rPr>
                <w:sz w:val="18"/>
                <w:szCs w:val="18"/>
              </w:rPr>
              <w:t xml:space="preserve">Bloquant</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La section 7.2 de marketplace-scraper.md déclare la langue comme partie de l'identité d'un prix, mais CardPrice/PriceHistory ne l'ont pas et @@unique l'omet → collision de données. Ajouter language + l'inclure dans la clé unique.</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Modèle « marketprice » (collectionr-api) ≠ modèles CardPrice/PriceHistory</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sz w:val="18"/>
                <w:szCs w:val="18"/>
              </w:rPr>
              <w:t xml:space="preserve">Majeur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Nommage snake_case vs camelCase ; average_price agrégé absent des tables ; condition/url/scrapedAt absents. Clarifier que marketprice est un DTO agrégé et documenter l'agrégation.</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Exemple de carte swsh3-136 = « Charizard » factuellement faux</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sz w:val="18"/>
                <w:szCs w:val="18"/>
              </w:rPr>
              <w:t xml:space="preserve">Majeur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swsh3-136 est « Furret » (vérifié en direct). Incohérence propagée dans externe-api, collectionr-api, marketplace-scraper. Choisir un vrai ID de Charizard et l'harmoniser.</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eBay : mélange « Browse » / « Finding » dans marketplace-scraper.md</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Section 3.2 mélange les deux API ; la Finding API est dépréciée. Uniformiser sur Browse / Marketplace Insights.</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Statut de Scrapy / Selenium divergent entre les 2 docs scraping</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decision-technique les classe « non retenus » ; bibliothèque présente Scrapy comme option recommandée. Aligner.</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curl_cffi dans le tableau comparatif mais jamais décrit</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Ajouter une sous-section curl_cffi ou le retirer du tableau (bilbilotheque-scrapping.md).</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Requests-HTML décrit mais absent du tableau comparatif</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Ajouter la ligne Requests-HTML au comparatif (HTTP oui / HTML oui / JS partiel).</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Formulation « APIs HTML simples » (impropre)</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before="0" w:line="276"/>
              <w:jc w:val="center"/>
            </w:pPr>
            <w:r>
              <w:rPr>
                <w:sz w:val="18"/>
                <w:szCs w:val="18"/>
              </w:rPr>
              <w:t xml:space="preserve">Info</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Une API n'est pas du HTML ; Requests+BS4 visent des pages HTML statiques. Reformuler.</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Style de collectionr-api.md (tout en minuscules, modèle simplifié)</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Harmoniser la casse, référencer TCGDex et les tables de prix, préciser que average_price est dérivé.</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Marketplaces génériques dans le flux runtime</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Le runtime ne nomme pas Cardmarket/eBay/TCGPlayer. Préciser pour cohérence.</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URL d'image sans TLD (cdn.collectionr)</w:t>
            </w:r>
          </w:p>
        </w:tc>
        <w:tc>
          <w:tcPr>
            <w:tcW w:type="dxa" w:w="13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Corrigé : https://cdn.collectionr.com/... (origine du CDN à confirmer côté équipe).</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Syntaxe cron à 4 champs au lieu de 5 (`*/30 * * *`)</w:t>
            </w:r>
          </w:p>
        </w:tc>
        <w:tc>
          <w:tcPr>
            <w:tcW w:type="dxa" w:w="13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Corrigé en `*/30 * * * *` dans marketplace-scraper.md.</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Nom de fichier « bilbilotheque-scrapping.md » mal orthographié</w:t>
            </w:r>
          </w:p>
        </w:tc>
        <w:tc>
          <w:tcPr>
            <w:tcW w:type="dxa" w:w="1300"/>
            <w:tcBorders>
              <w:top w:val="single" w:color="BFBFBF" w:sz="1"/>
              <w:left w:val="single" w:color="BFBFBF" w:sz="1"/>
              <w:bottom w:val="single" w:color="BFBFBF" w:sz="1"/>
              <w:right w:val="single" w:color="BFBFBF" w:sz="1"/>
            </w:tcBorders>
            <w:shd w:fill="FFE699" w:val="clear"/>
            <w:tcMar>
              <w:top w:type="dxa" w:w="60"/>
              <w:left w:type="dxa" w:w="110"/>
              <w:bottom w:type="dxa" w:w="60"/>
              <w:right w:type="dxa" w:w="110"/>
            </w:tcMar>
            <w:vAlign w:val="center"/>
          </w:tcPr>
          <w:p>
            <w:pPr>
              <w:spacing w:after="0" w:before="0" w:line="276"/>
              <w:jc w:val="center"/>
            </w:pPr>
            <w:r>
              <w:rPr>
                <w:b/>
                <w:bCs/>
                <w:color w:val="8A6100"/>
                <w:sz w:val="19"/>
                <w:szCs w:val="19"/>
              </w:rPr>
              <w:t xml:space="preserve">À corriger</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vAlign w:val="center"/>
          </w:tcPr>
          <w:p>
            <w:pPr>
              <w:spacing w:after="0" w:before="0" w:line="276"/>
              <w:jc w:val="center"/>
            </w:pPr>
            <w:r>
              <w:rPr>
                <w:sz w:val="18"/>
                <w:szCs w:val="18"/>
              </w:rPr>
              <w:t xml:space="preserve">Mineur</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Renommer en « bibliotheque-scraping.md » (deux fautes). Aucune référence interne ne pointe dessus.</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Stratégie migration TCGDex → PostgreSQL</w:t>
            </w:r>
          </w:p>
        </w:tc>
        <w:tc>
          <w:tcPr>
            <w:tcW w:type="dxa" w:w="13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1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before="0" w:line="276"/>
              <w:jc w:val="center"/>
            </w:pPr>
            <w:r>
              <w:rPr>
                <w:sz w:val="18"/>
                <w:szCs w:val="18"/>
              </w:rPr>
              <w:t xml:space="preserve">Info</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Cohérente entre externe-api, clean-architecture et le flux runtime (PostgreSQL source de vérité).</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TCGDex « aucune clé requise »</w:t>
            </w:r>
          </w:p>
        </w:tc>
        <w:tc>
          <w:tcPr>
            <w:tcW w:type="dxa" w:w="13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1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before="0" w:line="276"/>
              <w:jc w:val="center"/>
            </w:pPr>
            <w:r>
              <w:rPr>
                <w:sz w:val="18"/>
                <w:szCs w:val="18"/>
              </w:rPr>
              <w:t xml:space="preserve">Info</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Cohérent ; la gestion des Secrets concerne les marketplaces, pas TCGDex.</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IDs/exemples (Charizard, types, set) cohérents entre docs</w:t>
            </w:r>
          </w:p>
        </w:tc>
        <w:tc>
          <w:tcPr>
            <w:tcW w:type="dxa" w:w="13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vAlign w:val="center"/>
          </w:tcPr>
          <w:p>
            <w:pPr>
              <w:spacing w:after="0" w:before="0" w:line="276"/>
              <w:jc w:val="center"/>
            </w:pPr>
            <w:r>
              <w:rPr>
                <w:b/>
                <w:bCs/>
                <w:color w:val="1E6B2F"/>
                <w:sz w:val="19"/>
                <w:szCs w:val="19"/>
              </w:rPr>
              <w:t xml:space="preserve">OK</w:t>
            </w:r>
          </w:p>
        </w:tc>
        <w:tc>
          <w:tcPr>
            <w:tcW w:type="dxa" w:w="1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before="0" w:line="276"/>
              <w:jc w:val="center"/>
            </w:pPr>
            <w:r>
              <w:rPr>
                <w:sz w:val="18"/>
                <w:szCs w:val="18"/>
              </w:rPr>
              <w:t xml:space="preserve">Info</w:t>
            </w:r>
          </w:p>
        </w:tc>
        <w:tc>
          <w:tcPr>
            <w:tcW w:type="dxa" w:w="35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7"/>
                <w:szCs w:val="17"/>
              </w:rPr>
              <w:t xml:space="preserve">L'ID swsh3-136 est utilisé de façon cohérente partout (mais factuellement faux, voir ci-dessus).</w:t>
            </w:r>
          </w:p>
        </w:tc>
      </w:tr>
    </w:tbl>
    <w:p>
      <w:r>
        <w:br w:type="page"/>
      </w:r>
    </w:p>
    <w:p>
      <w:pPr>
        <w:pStyle w:val="Heading1"/>
      </w:pPr>
      <w:r>
        <w:t xml:space="preserve">7. Livrable 5 — Mises à jour des documents</w:t>
      </w:r>
    </w:p>
    <w:p>
      <w:pPr>
        <w:pStyle w:val="Heading2"/>
      </w:pPr>
      <w:r>
        <w:t xml:space="preserve">7.1 Corrections déjà appliquées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98754" w:sz="1"/>
              <w:left w:val="single" w:color="198754" w:sz="18"/>
              <w:bottom w:val="single" w:color="198754" w:sz="1"/>
              <w:right w:val="single" w:color="198754" w:sz="1"/>
            </w:tcBorders>
            <w:shd w:fill="D1E7DD" w:val="clear"/>
            <w:tcMar>
              <w:top w:type="dxa" w:w="100"/>
              <w:left w:type="dxa" w:w="160"/>
              <w:bottom w:type="dxa" w:w="100"/>
              <w:right w:type="dxa" w:w="140"/>
            </w:tcMar>
          </w:tcPr>
          <w:p>
            <w:pPr>
              <w:spacing w:after="80" w:before="0" w:line="276"/>
            </w:pPr>
            <w:r>
              <w:rPr>
                <w:sz w:val="19"/>
                <w:szCs w:val="19"/>
              </w:rPr>
              <w:t xml:space="preserve">Deux corrections mécaniques (sans décision d'architecture) ont été appliquées au dépôt :</w:t>
            </w:r>
          </w:p>
          <w:p>
            <w:pPr>
              <w:pStyle w:val="ListParagraph"/>
              <w:numPr>
                <w:ilvl w:val="0"/>
                <w:numId w:val="2"/>
              </w:numPr>
              <w:spacing w:after="80" w:before="0" w:line="276"/>
            </w:pPr>
            <w:r>
              <w:rPr>
                <w:sz w:val="19"/>
                <w:szCs w:val="19"/>
              </w:rPr>
              <w:t xml:space="preserve">marketplace-scraper.md : syntaxe cron corrigée de `*/30 * * *` (4 champs) en `*/30 * * * *` (5 champs).</w:t>
            </w:r>
          </w:p>
          <w:p>
            <w:pPr>
              <w:pStyle w:val="ListParagraph"/>
              <w:numPr>
                <w:ilvl w:val="0"/>
                <w:numId w:val="2"/>
              </w:numPr>
              <w:spacing w:after="0" w:before="0" w:line="276"/>
            </w:pPr>
            <w:r>
              <w:rPr>
                <w:sz w:val="19"/>
                <w:szCs w:val="19"/>
              </w:rPr>
              <w:t xml:space="preserve">collectionr-api.md : URL d'image corrigée de « https://cdn.collectionr/... » (TLD manquant) en « https://cdn.collectionr.com/... » (domaine à confirmer par l'équipe).</w:t>
            </w:r>
          </w:p>
        </w:tc>
      </w:tr>
    </w:tbl>
    <w:p>
      <w:pPr>
        <w:pStyle w:val="Heading2"/>
      </w:pPr>
      <w:r>
        <w:t xml:space="preserve">7.2 Décisions requises avant correction (GO / NO-GO développement)</w:t>
      </w:r>
    </w:p>
    <w:p>
      <w:pPr>
        <w:spacing w:after="120" w:before="0" w:line="276"/>
      </w:pPr>
      <w:r>
        <w:t xml:space="preserve">Les écarts suivants engagent l'architecture ou le produit : ils nécessitent une décision d'équipe avant mise à jour des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Sujet</w:t>
            </w:r>
          </w:p>
        </w:tc>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Décision à prendre</w:t>
            </w:r>
          </w:p>
        </w:tc>
        <w:tc>
          <w:tcPr>
            <w:tcW w:type="dxa" w:w="3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before="0" w:line="276"/>
            </w:pPr>
            <w:r>
              <w:rPr>
                <w:b/>
                <w:bCs/>
                <w:color w:val="FFFFFF"/>
                <w:sz w:val="19"/>
                <w:szCs w:val="19"/>
              </w:rPr>
              <w:t xml:space="preserve">Recommandation</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Langage du worker de collecte de prix</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Python (recommandé) ou Node.js/TypeScript ?</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Reco : Python, pour cohérence avec le « Pipeline de Données (Python) » de clean-architecture.md et l'écosystème scraping/anti-bot. Aligner ensuite marketplace-scraper.md (section 10) sur Python.</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Sources de prix marketplace</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Conserver Cardmarket/eBay/TCGPlayer ou pivoter ?</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Les 3 sont inaccessibles/restreintes pour CollectionR. Reco : pivoter vers des sources ouvertes (pokemontcg.io, JustTCG) et/ou solliciter un accord écrit. Retirer les notes « légalement autorisé / fiabilité ★★★★★ ».</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Worker TCG Prediction</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Worker asynchrone ou service synchrone /predict-price ?</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Décider la nature, puis l'inscrire explicitement dans 03-flux-techniques-plateforme.md (sections 2 et 6) pour aligner runtime et clean-architecture.</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Modèle de données de prix</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Inclure la langue dans l'identité d'un prix ?</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Reco : oui. Ajouter language à CardPrice/PriceHistory et à @@unique([cardId, source, condition, language]), conformément à la section 7.2.</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b/>
                <w:bCs/>
                <w:sz w:val="18"/>
                <w:szCs w:val="18"/>
              </w:rPr>
              <w:t xml:space="preserve">Carte d'exemple</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Garder swsh3-136 ou utiliser un vrai Charizard ?</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before="0" w:line="276"/>
            </w:pPr>
            <w:r>
              <w:rPr>
                <w:sz w:val="18"/>
                <w:szCs w:val="18"/>
              </w:rPr>
              <w:t xml:space="preserve">swsh3-136 = Furret. Choisir un vrai ID de Charizard et l'harmoniser dans les 3 docs, ou assumer Furret comme exemple.</w:t>
            </w:r>
          </w:p>
        </w:tc>
      </w:tr>
    </w:tbl>
    <w:p>
      <w:pPr>
        <w:spacing w:after="120" w:before="80" w:line="276"/>
      </w:pPr>
      <w:r>
        <w:t xml:space="preserve">Une fois ces décisions arbitrées, les corrections documentaires correspondantes (alignement de la stack, ajout du worker Prediction, ajout du champ language, harmonisation NestJS/Fastify, renommage de fichier, alignement des tableaux de scraping) peuvent être appliquées en lot.</w:t>
      </w:r>
    </w:p>
    <w:p>
      <w:r>
        <w:br w:type="page"/>
      </w:r>
    </w:p>
    <w:p>
      <w:pPr>
        <w:pStyle w:val="Heading1"/>
      </w:pPr>
      <w:r>
        <w:t xml:space="preserve">8. Conclusion</w:t>
      </w:r>
    </w:p>
    <w:p>
      <w:pPr>
        <w:spacing w:after="120" w:before="0" w:line="276"/>
      </w:pPr>
      <w:r>
        <w:t xml:space="preserve">Le microservice TCG repose sur des fondations d'architecture solides, mais n'est pas prêt pour le démarrage du développement en l'état : la chaîne de collecte des prix s'appuie sur des marketplaces dont l'accès s'est fermé ou restreint, un worker attendu (Prediction) n'est pas défini dans l'architecture runtime, et plusieurs choix techniques structurants (langage du worker, stratégie de prix, modèle de données) restent ambigus ou contradictoires entre les documents.</w:t>
      </w:r>
    </w:p>
    <w:p>
      <w:pPr>
        <w:spacing w:after="120" w:before="0" w:line="276"/>
      </w:pPr>
      <w:r>
        <w:t xml:space="preserve">Actions prioritaires avant le développement :</w:t>
      </w:r>
    </w:p>
    <w:p>
      <w:pPr>
        <w:pStyle w:val="ListParagraph"/>
        <w:numPr>
          <w:ilvl w:val="0"/>
          <w:numId w:val="2"/>
        </w:numPr>
        <w:spacing w:after="120" w:before="0" w:line="276"/>
      </w:pPr>
      <w:r>
        <w:t xml:space="preserve">Re-statuer la stratégie de collecte des prix : abandonner l'hypothèse d'un accès direct Cardmarket/eBay/TCGPlayer et adopter une (ou des) source(s) réellement accessible(s) (pokemontcg.io, JustTCG, TCGdex).</w:t>
      </w:r>
    </w:p>
    <w:p>
      <w:pPr>
        <w:pStyle w:val="ListParagraph"/>
        <w:numPr>
          <w:ilvl w:val="0"/>
          <w:numId w:val="2"/>
        </w:numPr>
        <w:spacing w:after="120" w:before="0" w:line="276"/>
      </w:pPr>
      <w:r>
        <w:t xml:space="preserve">Trancher le langage du worker de collecte (recommandation : Python) et l'inscrire comme référence unique dans l'architecture runtime.</w:t>
      </w:r>
    </w:p>
    <w:p>
      <w:pPr>
        <w:pStyle w:val="ListParagraph"/>
        <w:numPr>
          <w:ilvl w:val="0"/>
          <w:numId w:val="2"/>
        </w:numPr>
        <w:spacing w:after="120" w:before="0" w:line="276"/>
      </w:pPr>
      <w:r>
        <w:t xml:space="preserve">Définir le Worker TCG Prediction (worker asynchrone ou service synchrone) et l'intégrer au flux runtime.</w:t>
      </w:r>
    </w:p>
    <w:p>
      <w:pPr>
        <w:pStyle w:val="ListParagraph"/>
        <w:numPr>
          <w:ilvl w:val="0"/>
          <w:numId w:val="2"/>
        </w:numPr>
        <w:spacing w:after="120" w:before="0" w:line="276"/>
      </w:pPr>
      <w:r>
        <w:t xml:space="preserve">Ajouter la langue au modèle de prix et corriger l'exemple de carte factuellement erroné.</w:t>
      </w:r>
    </w:p>
    <w:p>
      <w:pPr>
        <w:pStyle w:val="ListParagraph"/>
        <w:numPr>
          <w:ilvl w:val="0"/>
          <w:numId w:val="2"/>
        </w:numPr>
        <w:spacing w:after="120" w:before="0" w:line="276"/>
      </w:pPr>
      <w:r>
        <w:t xml:space="preserve">Réécrire honnêtement le volet juridique du scraping (interdit sur Cardmarket/eBay/TCGPlayer).</w:t>
      </w:r>
    </w:p>
    <w:p>
      <w:pPr>
        <w:spacing w:after="120" w:before="60" w:line="276"/>
      </w:pPr>
      <w:r>
        <w:rPr>
          <w:b/>
          <w:bCs/>
        </w:rPr>
        <w:t xml:space="preserve">Une fois ces points traités, le passage en développement pourra être validé (GO). </w:t>
      </w:r>
      <w:r>
        <w:t xml:space="preserve">L'API TCGDex et les outils de scraping retenus n'appellent, eux, aucune réserve technique bloquante.</w:t>
      </w:r>
    </w:p>
    <w:p>
      <w:r>
        <w:br w:type="page"/>
      </w:r>
    </w:p>
    <w:p>
      <w:pPr>
        <w:pStyle w:val="Heading1"/>
      </w:pPr>
      <w:r>
        <w:t xml:space="preserve">9. Annexe — Sources principales</w:t>
      </w:r>
    </w:p>
    <w:p>
      <w:pPr>
        <w:spacing w:after="120" w:before="0" w:line="276"/>
      </w:pPr>
      <w:r>
        <w:t xml:space="preserve">Méthodologie : 13 agents (recherche + vérification adversariale + cohérence documentaire), ~600 k tokens, sources primaires vérifiées en direct (juin 2026).</w:t>
      </w:r>
    </w:p>
    <w:p>
      <w:pPr>
        <w:pStyle w:val="Heading3"/>
      </w:pPr>
      <w:r>
        <w:t xml:space="preserve">TCGDex</w:t>
      </w:r>
    </w:p>
    <w:p>
      <w:pPr>
        <w:pStyle w:val="ListParagraph"/>
        <w:numPr>
          <w:ilvl w:val="0"/>
          <w:numId w:val="2"/>
        </w:numPr>
        <w:spacing w:after="40"/>
      </w:pPr>
      <w:hyperlink w:history="1" r:id="rIdhty5yor-xnjdbevze0eq-">
        <w:r>
          <w:rPr>
            <w:rStyle w:val="Hyperlink"/>
            <w:sz w:val="18"/>
            <w:szCs w:val="18"/>
          </w:rPr>
          <w:t xml:space="preserve">https://tcgdex.dev/faq</w:t>
        </w:r>
      </w:hyperlink>
    </w:p>
    <w:p>
      <w:pPr>
        <w:pStyle w:val="ListParagraph"/>
        <w:numPr>
          <w:ilvl w:val="0"/>
          <w:numId w:val="2"/>
        </w:numPr>
        <w:spacing w:after="40"/>
      </w:pPr>
      <w:hyperlink w:history="1" r:id="rIdvlvipynrvomgiynbjvyo6">
        <w:r>
          <w:rPr>
            <w:rStyle w:val="Hyperlink"/>
            <w:sz w:val="18"/>
            <w:szCs w:val="18"/>
          </w:rPr>
          <w:t xml:space="preserve">https://api.tcgdex.net/v2/en/cards/swsh3-136</w:t>
        </w:r>
      </w:hyperlink>
    </w:p>
    <w:p>
      <w:pPr>
        <w:pStyle w:val="ListParagraph"/>
        <w:numPr>
          <w:ilvl w:val="0"/>
          <w:numId w:val="2"/>
        </w:numPr>
        <w:spacing w:after="40"/>
      </w:pPr>
      <w:hyperlink w:history="1" r:id="rId76qebvtrtsql16agqjgkb">
        <w:r>
          <w:rPr>
            <w:rStyle w:val="Hyperlink"/>
            <w:sz w:val="18"/>
            <w:szCs w:val="18"/>
          </w:rPr>
          <w:t xml:space="preserve">https://api.tcgdex.net/status</w:t>
        </w:r>
      </w:hyperlink>
    </w:p>
    <w:p>
      <w:pPr>
        <w:pStyle w:val="ListParagraph"/>
        <w:numPr>
          <w:ilvl w:val="0"/>
          <w:numId w:val="2"/>
        </w:numPr>
        <w:spacing w:after="40"/>
      </w:pPr>
      <w:hyperlink w:history="1" r:id="rIdrjdsqbdoa10-x9walflww">
        <w:r>
          <w:rPr>
            <w:rStyle w:val="Hyperlink"/>
            <w:sz w:val="18"/>
            <w:szCs w:val="18"/>
          </w:rPr>
          <w:t xml:space="preserve">https://github.com/tcgdex/cards-database</w:t>
        </w:r>
      </w:hyperlink>
    </w:p>
    <w:p>
      <w:pPr>
        <w:pStyle w:val="Heading3"/>
      </w:pPr>
      <w:r>
        <w:t xml:space="preserve">Cardmarket</w:t>
      </w:r>
    </w:p>
    <w:p>
      <w:pPr>
        <w:pStyle w:val="ListParagraph"/>
        <w:numPr>
          <w:ilvl w:val="0"/>
          <w:numId w:val="2"/>
        </w:numPr>
        <w:spacing w:after="40"/>
      </w:pPr>
      <w:hyperlink w:history="1" r:id="rIdu9x4qtoprvjjwzbevpzv0">
        <w:r>
          <w:rPr>
            <w:rStyle w:val="Hyperlink"/>
            <w:sz w:val="18"/>
            <w:szCs w:val="18"/>
          </w:rPr>
          <w:t xml:space="preserve">https://api.cardmarket.com/ws/documentation/API:Auth_Overview</w:t>
        </w:r>
      </w:hyperlink>
    </w:p>
    <w:p>
      <w:pPr>
        <w:pStyle w:val="ListParagraph"/>
        <w:numPr>
          <w:ilvl w:val="0"/>
          <w:numId w:val="2"/>
        </w:numPr>
        <w:spacing w:after="40"/>
      </w:pPr>
      <w:hyperlink w:history="1" r:id="rIdolmwaetinqjq_f9srqu2z">
        <w:r>
          <w:rPr>
            <w:rStyle w:val="Hyperlink"/>
            <w:sz w:val="18"/>
            <w:szCs w:val="18"/>
          </w:rPr>
          <w:t xml:space="preserve">https://www.cardmarket.com/en/Policies/GeneralTermsAndConditions</w:t>
        </w:r>
      </w:hyperlink>
    </w:p>
    <w:p>
      <w:pPr>
        <w:pStyle w:val="ListParagraph"/>
        <w:numPr>
          <w:ilvl w:val="0"/>
          <w:numId w:val="2"/>
        </w:numPr>
        <w:spacing w:after="40"/>
      </w:pPr>
      <w:hyperlink w:history="1" r:id="rIdrkpw5bzgvbaef9eax8yig">
        <w:r>
          <w:rPr>
            <w:rStyle w:val="Hyperlink"/>
            <w:sz w:val="18"/>
            <w:szCs w:val="18"/>
          </w:rPr>
          <w:t xml:space="preserve">https://help.cardmarket.com/en/cardmarket-api</w:t>
        </w:r>
      </w:hyperlink>
    </w:p>
    <w:p>
      <w:pPr>
        <w:pStyle w:val="Heading3"/>
      </w:pPr>
      <w:r>
        <w:t xml:space="preserve">eBay</w:t>
      </w:r>
    </w:p>
    <w:p>
      <w:pPr>
        <w:pStyle w:val="ListParagraph"/>
        <w:numPr>
          <w:ilvl w:val="0"/>
          <w:numId w:val="2"/>
        </w:numPr>
        <w:spacing w:after="40"/>
      </w:pPr>
      <w:hyperlink w:history="1" r:id="rId5rjbsyzpczjihobkxdceh">
        <w:r>
          <w:rPr>
            <w:rStyle w:val="Hyperlink"/>
            <w:sz w:val="18"/>
            <w:szCs w:val="18"/>
          </w:rPr>
          <w:t xml:space="preserve">https://developer.ebay.com/updates/newsletter/q3_2024</w:t>
        </w:r>
      </w:hyperlink>
    </w:p>
    <w:p>
      <w:pPr>
        <w:pStyle w:val="ListParagraph"/>
        <w:numPr>
          <w:ilvl w:val="0"/>
          <w:numId w:val="2"/>
        </w:numPr>
        <w:spacing w:after="40"/>
      </w:pPr>
      <w:hyperlink w:history="1" r:id="rIdqvc3ubjtt5lfabqb4zfya">
        <w:r>
          <w:rPr>
            <w:rStyle w:val="Hyperlink"/>
            <w:sz w:val="18"/>
            <w:szCs w:val="18"/>
          </w:rPr>
          <w:t xml:space="preserve">https://developer.ebay.com/api-docs/buy/browse/overview.html</w:t>
        </w:r>
      </w:hyperlink>
    </w:p>
    <w:p>
      <w:pPr>
        <w:pStyle w:val="ListParagraph"/>
        <w:numPr>
          <w:ilvl w:val="0"/>
          <w:numId w:val="2"/>
        </w:numPr>
        <w:spacing w:after="40"/>
      </w:pPr>
      <w:hyperlink w:history="1" r:id="rId8cx_awewapv1epo8j_2up">
        <w:r>
          <w:rPr>
            <w:rStyle w:val="Hyperlink"/>
            <w:sz w:val="18"/>
            <w:szCs w:val="18"/>
          </w:rPr>
          <w:t xml:space="preserve">https://developer.ebay.com/api-docs/buy/static/api-insights.html</w:t>
        </w:r>
      </w:hyperlink>
    </w:p>
    <w:p>
      <w:pPr>
        <w:pStyle w:val="ListParagraph"/>
        <w:numPr>
          <w:ilvl w:val="0"/>
          <w:numId w:val="2"/>
        </w:numPr>
        <w:spacing w:after="40"/>
      </w:pPr>
      <w:hyperlink w:history="1" r:id="rId6nowoxht1v8sx87-l1-7m">
        <w:r>
          <w:rPr>
            <w:rStyle w:val="Hyperlink"/>
            <w:sz w:val="18"/>
            <w:szCs w:val="18"/>
          </w:rPr>
          <w:t xml:space="preserve">https://www.ebay.com/robots.txt</w:t>
        </w:r>
      </w:hyperlink>
    </w:p>
    <w:p>
      <w:pPr>
        <w:pStyle w:val="Heading3"/>
      </w:pPr>
      <w:r>
        <w:t xml:space="preserve">TCGPlayer</w:t>
      </w:r>
    </w:p>
    <w:p>
      <w:pPr>
        <w:pStyle w:val="ListParagraph"/>
        <w:numPr>
          <w:ilvl w:val="0"/>
          <w:numId w:val="2"/>
        </w:numPr>
        <w:spacing w:after="40"/>
      </w:pPr>
      <w:hyperlink w:history="1" r:id="rId2jlzsp4wcpqxvdv3soh-v">
        <w:r>
          <w:rPr>
            <w:rStyle w:val="Hyperlink"/>
            <w:sz w:val="18"/>
            <w:szCs w:val="18"/>
          </w:rPr>
          <w:t xml:space="preserve">https://docs.tcgplayer.com/docs/getting-started</w:t>
        </w:r>
      </w:hyperlink>
    </w:p>
    <w:p>
      <w:pPr>
        <w:pStyle w:val="ListParagraph"/>
        <w:numPr>
          <w:ilvl w:val="0"/>
          <w:numId w:val="2"/>
        </w:numPr>
        <w:spacing w:after="40"/>
      </w:pPr>
      <w:hyperlink w:history="1" r:id="rIdmobiqp92bw7befrdlyq-p">
        <w:r>
          <w:rPr>
            <w:rStyle w:val="Hyperlink"/>
            <w:sz w:val="18"/>
            <w:szCs w:val="18"/>
          </w:rPr>
          <w:t xml:space="preserve">https://investors.ebayinc.com/investor-news/press-release-details/2022/eBay-Acquires-TCGplayer/default.aspx</w:t>
        </w:r>
      </w:hyperlink>
    </w:p>
    <w:p>
      <w:pPr>
        <w:pStyle w:val="ListParagraph"/>
        <w:numPr>
          <w:ilvl w:val="0"/>
          <w:numId w:val="2"/>
        </w:numPr>
        <w:spacing w:after="40"/>
      </w:pPr>
      <w:hyperlink w:history="1" r:id="rIdye1ecovg1-wueriqllbod">
        <w:r>
          <w:rPr>
            <w:rStyle w:val="Hyperlink"/>
            <w:sz w:val="18"/>
            <w:szCs w:val="18"/>
          </w:rPr>
          <w:t xml:space="preserve">https://docs.pokemontcg.io/getting-started/rate-limits/</w:t>
        </w:r>
      </w:hyperlink>
    </w:p>
    <w:p>
      <w:pPr>
        <w:pStyle w:val="ListParagraph"/>
        <w:numPr>
          <w:ilvl w:val="0"/>
          <w:numId w:val="2"/>
        </w:numPr>
        <w:spacing w:after="40"/>
      </w:pPr>
      <w:hyperlink w:history="1" r:id="rIdznw5vm3aavcda3bhbgtpx">
        <w:r>
          <w:rPr>
            <w:rStyle w:val="Hyperlink"/>
            <w:sz w:val="18"/>
            <w:szCs w:val="18"/>
          </w:rPr>
          <w:t xml:space="preserve">https://justtcg.com/</w:t>
        </w:r>
      </w:hyperlink>
    </w:p>
    <w:p>
      <w:pPr>
        <w:pStyle w:val="Heading3"/>
      </w:pPr>
      <w:r>
        <w:t xml:space="preserve">Outils &amp; légal</w:t>
      </w:r>
    </w:p>
    <w:p>
      <w:pPr>
        <w:pStyle w:val="ListParagraph"/>
        <w:numPr>
          <w:ilvl w:val="0"/>
          <w:numId w:val="2"/>
        </w:numPr>
        <w:spacing w:after="40"/>
      </w:pPr>
      <w:hyperlink w:history="1" r:id="rIdn55naqwybmrimpj75xbmm">
        <w:r>
          <w:rPr>
            <w:rStyle w:val="Hyperlink"/>
            <w:sz w:val="18"/>
            <w:szCs w:val="18"/>
          </w:rPr>
          <w:t xml:space="preserve">https://playwright.dev/python/docs/release-notes</w:t>
        </w:r>
      </w:hyperlink>
    </w:p>
    <w:p>
      <w:pPr>
        <w:pStyle w:val="ListParagraph"/>
        <w:numPr>
          <w:ilvl w:val="0"/>
          <w:numId w:val="2"/>
        </w:numPr>
        <w:spacing w:after="40"/>
      </w:pPr>
      <w:hyperlink w:history="1" r:id="rIdukxhnwdjlogyrh3rl9xts">
        <w:r>
          <w:rPr>
            <w:rStyle w:val="Hyperlink"/>
            <w:sz w:val="18"/>
            <w:szCs w:val="18"/>
          </w:rPr>
          <w:t xml:space="preserve">https://pypi.org/project/requests/</w:t>
        </w:r>
      </w:hyperlink>
    </w:p>
    <w:p>
      <w:pPr>
        <w:pStyle w:val="ListParagraph"/>
        <w:numPr>
          <w:ilvl w:val="0"/>
          <w:numId w:val="2"/>
        </w:numPr>
        <w:spacing w:after="40"/>
      </w:pPr>
      <w:hyperlink w:history="1" r:id="rIdfn3cec2wmw3s0nsp0hdnz">
        <w:r>
          <w:rPr>
            <w:rStyle w:val="Hyperlink"/>
            <w:sz w:val="18"/>
            <w:szCs w:val="18"/>
          </w:rPr>
          <w:t xml:space="preserve">https://www.valueaddedresource.net/ebay-bans-ai-agents-updates-arbitration-user-agreement-feb-2026/</w:t>
        </w:r>
      </w:hyperlink>
    </w:p>
    <w:p>
      <w:pPr>
        <w:pStyle w:val="ListParagraph"/>
        <w:numPr>
          <w:ilvl w:val="0"/>
          <w:numId w:val="2"/>
        </w:numPr>
        <w:spacing w:after="40"/>
      </w:pPr>
      <w:hyperlink w:history="1" r:id="rId6pg6ctcpvjwjkq6sgai-y">
        <w:r>
          <w:rPr>
            <w:rStyle w:val="Hyperlink"/>
            <w:sz w:val="18"/>
            <w:szCs w:val="18"/>
          </w:rPr>
          <w:t xml:space="preserve">https://iapp.org/news/a/the-state-of-web-scraping-in-the-eu</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before="60"/>
      <w:jc w:val="center"/>
    </w:pPr>
    <w:r>
      <w:rPr>
        <w:color w:val="595959"/>
        <w:sz w:val="16"/>
        <w:szCs w:val="16"/>
      </w:rPr>
      <w:t xml:space="preserve">Confidentiel — usage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0"/>
      <w:jc w:val="right"/>
    </w:pPr>
    <w:r>
      <w:rPr>
        <w:color w:val="595959"/>
        <w:sz w:val="16"/>
        <w:szCs w:val="16"/>
      </w:rPr>
      <w:t xml:space="preserve">CollectionR — Vérification Microservice TCG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C8DE" w:sz="8" w:space="4"/>
      </w:pBd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ty5yor-xnjdbevze0eq-" Type="http://schemas.openxmlformats.org/officeDocument/2006/relationships/hyperlink" Target="https://tcgdex.dev/faq" TargetMode="External"/><Relationship Id="rIdvlvipynrvomgiynbjvyo6" Type="http://schemas.openxmlformats.org/officeDocument/2006/relationships/hyperlink" Target="https://api.tcgdex.net/v2/en/cards/swsh3-136" TargetMode="External"/><Relationship Id="rId76qebvtrtsql16agqjgkb" Type="http://schemas.openxmlformats.org/officeDocument/2006/relationships/hyperlink" Target="https://api.tcgdex.net/status" TargetMode="External"/><Relationship Id="rIdrjdsqbdoa10-x9walflww" Type="http://schemas.openxmlformats.org/officeDocument/2006/relationships/hyperlink" Target="https://github.com/tcgdex/cards-database" TargetMode="External"/><Relationship Id="rIdu9x4qtoprvjjwzbevpzv0" Type="http://schemas.openxmlformats.org/officeDocument/2006/relationships/hyperlink" Target="https://api.cardmarket.com/ws/documentation/API:Auth_Overview" TargetMode="External"/><Relationship Id="rIdolmwaetinqjq_f9srqu2z" Type="http://schemas.openxmlformats.org/officeDocument/2006/relationships/hyperlink" Target="https://www.cardmarket.com/en/Policies/GeneralTermsAndConditions" TargetMode="External"/><Relationship Id="rIdrkpw5bzgvbaef9eax8yig" Type="http://schemas.openxmlformats.org/officeDocument/2006/relationships/hyperlink" Target="https://help.cardmarket.com/en/cardmarket-api" TargetMode="External"/><Relationship Id="rId5rjbsyzpczjihobkxdceh" Type="http://schemas.openxmlformats.org/officeDocument/2006/relationships/hyperlink" Target="https://developer.ebay.com/updates/newsletter/q3_2024" TargetMode="External"/><Relationship Id="rIdqvc3ubjtt5lfabqb4zfya" Type="http://schemas.openxmlformats.org/officeDocument/2006/relationships/hyperlink" Target="https://developer.ebay.com/api-docs/buy/browse/overview.html" TargetMode="External"/><Relationship Id="rId8cx_awewapv1epo8j_2up" Type="http://schemas.openxmlformats.org/officeDocument/2006/relationships/hyperlink" Target="https://developer.ebay.com/api-docs/buy/static/api-insights.html" TargetMode="External"/><Relationship Id="rId6nowoxht1v8sx87-l1-7m" Type="http://schemas.openxmlformats.org/officeDocument/2006/relationships/hyperlink" Target="https://www.ebay.com/robots.txt" TargetMode="External"/><Relationship Id="rId2jlzsp4wcpqxvdv3soh-v" Type="http://schemas.openxmlformats.org/officeDocument/2006/relationships/hyperlink" Target="https://docs.tcgplayer.com/docs/getting-started" TargetMode="External"/><Relationship Id="rIdmobiqp92bw7befrdlyq-p" Type="http://schemas.openxmlformats.org/officeDocument/2006/relationships/hyperlink" Target="https://investors.ebayinc.com/investor-news/press-release-details/2022/eBay-Acquires-TCGplayer/default.aspx" TargetMode="External"/><Relationship Id="rIdye1ecovg1-wueriqllbod" Type="http://schemas.openxmlformats.org/officeDocument/2006/relationships/hyperlink" Target="https://docs.pokemontcg.io/getting-started/rate-limits/" TargetMode="External"/><Relationship Id="rIdznw5vm3aavcda3bhbgtpx" Type="http://schemas.openxmlformats.org/officeDocument/2006/relationships/hyperlink" Target="https://justtcg.com/" TargetMode="External"/><Relationship Id="rIdn55naqwybmrimpj75xbmm" Type="http://schemas.openxmlformats.org/officeDocument/2006/relationships/hyperlink" Target="https://playwright.dev/python/docs/release-notes" TargetMode="External"/><Relationship Id="rIdukxhnwdjlogyrh3rl9xts" Type="http://schemas.openxmlformats.org/officeDocument/2006/relationships/hyperlink" Target="https://pypi.org/project/requests/" TargetMode="External"/><Relationship Id="rIdfn3cec2wmw3s0nsp0hdnz" Type="http://schemas.openxmlformats.org/officeDocument/2006/relationships/hyperlink" Target="https://www.valueaddedresource.net/ebay-bans-ai-agents-updates-arbitration-user-agreement-feb-2026/" TargetMode="External"/><Relationship Id="rId6pg6ctcpvjwjkq6sgai-y" Type="http://schemas.openxmlformats.org/officeDocument/2006/relationships/hyperlink" Target="https://iapp.org/news/a/the-state-of-web-scraping-in-the-eu"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vérification — Microservice TCG CollectionR</dc:title>
  <dc:creator>Théo Ricci</dc:creator>
  <dc:description>Validation des choix techniques avant développement</dc:description>
  <cp:lastModifiedBy>Un-named</cp:lastModifiedBy>
  <cp:revision>1</cp:revision>
  <dcterms:created xsi:type="dcterms:W3CDTF">2026-06-15T13:59:48.829Z</dcterms:created>
  <dcterms:modified xsi:type="dcterms:W3CDTF">2026-06-15T13:59:48.830Z</dcterms:modified>
</cp:coreProperties>
</file>

<file path=docProps/custom.xml><?xml version="1.0" encoding="utf-8"?>
<Properties xmlns="http://schemas.openxmlformats.org/officeDocument/2006/custom-properties" xmlns:vt="http://schemas.openxmlformats.org/officeDocument/2006/docPropsVTypes"/>
</file>