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3e654e1dc4536230e508ca11d6926825206ec4"/>
    <w:p>
      <w:pPr>
        <w:pStyle w:val="Heading1"/>
      </w:pPr>
      <w:r>
        <w:t xml:space="preserve">Collectiverse Studio Documentation Master Plan</w:t>
      </w:r>
    </w:p>
    <w:bookmarkStart w:id="20" w:name="purpose"/>
    <w:p>
      <w:pPr>
        <w:pStyle w:val="Heading2"/>
      </w:pPr>
      <w:r>
        <w:t xml:space="preserve">Purpose</w:t>
      </w:r>
    </w:p>
    <w:p>
      <w:pPr>
        <w:pStyle w:val="FirstParagraph"/>
      </w:pPr>
      <w:r>
        <w:t xml:space="preserve">The Collectiverse Studio Documentation Library serves as the authoritative source for every aspect of the Collectiverse franchise. Its purpose is to ensure that every story, character, product, game, animation, publication, and licensed experience remains consistent, recognizable, and true to the core vision of Collectiverse.</w:t>
      </w:r>
    </w:p>
    <w:p>
      <w:pPr>
        <w:pStyle w:val="BodyText"/>
      </w:pPr>
      <w:r>
        <w:t xml:space="preserve">This documentation is intended to support franchise development for decades and provide every creative discipline with a single source of truth.</w:t>
      </w:r>
    </w:p>
    <w:p>
      <w:r>
        <w:pict>
          <v:rect style="width:0;height:1.5pt" o:hralign="center" o:hrstd="t" o:hr="t"/>
        </w:pict>
      </w:r>
    </w:p>
    <w:bookmarkEnd w:id="20"/>
    <w:bookmarkEnd w:id="21"/>
    <w:bookmarkStart w:id="26" w:name="documentation-structure"/>
    <w:p>
      <w:pPr>
        <w:pStyle w:val="Heading1"/>
      </w:pPr>
      <w:r>
        <w:t xml:space="preserve">Documentation Structure</w:t>
      </w:r>
    </w:p>
    <w:bookmarkStart w:id="25" w:name="volume-01-franchise-bible-completed"/>
    <w:p>
      <w:pPr>
        <w:pStyle w:val="Heading2"/>
      </w:pPr>
      <w:r>
        <w:t xml:space="preserve">Volume 01 — Franchise Bible</w:t>
      </w:r>
      <w:r>
        <w:t xml:space="preserve"> </w:t>
      </w:r>
      <w:r>
        <w:rPr>
          <w:i/>
          <w:iCs/>
        </w:rPr>
        <w:t xml:space="preserve">(Completed)</w:t>
      </w:r>
    </w:p>
    <w:bookmarkStart w:id="22" w:name="purpose-1"/>
    <w:p>
      <w:pPr>
        <w:pStyle w:val="Heading3"/>
      </w:pPr>
      <w:r>
        <w:t xml:space="preserve">Purpose</w:t>
      </w:r>
    </w:p>
    <w:p>
      <w:pPr>
        <w:pStyle w:val="FirstParagraph"/>
      </w:pPr>
      <w:r>
        <w:t xml:space="preserve">Establishes the foundation of the Collectiverse universe.</w:t>
      </w:r>
    </w:p>
    <w:bookmarkEnd w:id="22"/>
    <w:bookmarkStart w:id="23" w:name="contents"/>
    <w:p>
      <w:pPr>
        <w:pStyle w:val="Heading3"/>
      </w:pPr>
      <w:r>
        <w:t xml:space="preserve">Contents</w:t>
      </w:r>
    </w:p>
    <w:p>
      <w:pPr>
        <w:pStyle w:val="Compact"/>
        <w:numPr>
          <w:ilvl w:val="0"/>
          <w:numId w:val="1001"/>
        </w:numPr>
      </w:pPr>
      <w:r>
        <w:t xml:space="preserve">Franchise Vision</w:t>
      </w:r>
    </w:p>
    <w:p>
      <w:pPr>
        <w:pStyle w:val="Compact"/>
        <w:numPr>
          <w:ilvl w:val="0"/>
          <w:numId w:val="1001"/>
        </w:numPr>
      </w:pPr>
      <w:r>
        <w:t xml:space="preserve">Mission Statement</w:t>
      </w:r>
    </w:p>
    <w:p>
      <w:pPr>
        <w:pStyle w:val="Compact"/>
        <w:numPr>
          <w:ilvl w:val="0"/>
          <w:numId w:val="1001"/>
        </w:numPr>
      </w:pPr>
      <w:r>
        <w:t xml:space="preserve">Core Values</w:t>
      </w:r>
    </w:p>
    <w:p>
      <w:pPr>
        <w:pStyle w:val="Compact"/>
        <w:numPr>
          <w:ilvl w:val="0"/>
          <w:numId w:val="1001"/>
        </w:numPr>
      </w:pPr>
      <w:r>
        <w:t xml:space="preserve">Keeper HQ</w:t>
      </w:r>
    </w:p>
    <w:p>
      <w:pPr>
        <w:pStyle w:val="Compact"/>
        <w:numPr>
          <w:ilvl w:val="0"/>
          <w:numId w:val="1001"/>
        </w:numPr>
      </w:pPr>
      <w:r>
        <w:t xml:space="preserve">World Structure</w:t>
      </w:r>
    </w:p>
    <w:p>
      <w:pPr>
        <w:pStyle w:val="Compact"/>
        <w:numPr>
          <w:ilvl w:val="0"/>
          <w:numId w:val="1001"/>
        </w:numPr>
      </w:pPr>
      <w:r>
        <w:t xml:space="preserve">Organizational Standards</w:t>
      </w:r>
    </w:p>
    <w:p>
      <w:pPr>
        <w:pStyle w:val="Compact"/>
        <w:numPr>
          <w:ilvl w:val="0"/>
          <w:numId w:val="1001"/>
        </w:numPr>
      </w:pPr>
      <w:r>
        <w:t xml:space="preserve">Technology</w:t>
      </w:r>
    </w:p>
    <w:p>
      <w:pPr>
        <w:pStyle w:val="Compact"/>
        <w:numPr>
          <w:ilvl w:val="0"/>
          <w:numId w:val="1001"/>
        </w:numPr>
      </w:pPr>
      <w:r>
        <w:t xml:space="preserve">Transportation</w:t>
      </w:r>
    </w:p>
    <w:p>
      <w:pPr>
        <w:pStyle w:val="Compact"/>
        <w:numPr>
          <w:ilvl w:val="0"/>
          <w:numId w:val="1001"/>
        </w:numPr>
      </w:pPr>
      <w:r>
        <w:t xml:space="preserve">Museum Standards</w:t>
      </w:r>
    </w:p>
    <w:p>
      <w:pPr>
        <w:pStyle w:val="Compact"/>
        <w:numPr>
          <w:ilvl w:val="0"/>
          <w:numId w:val="1001"/>
        </w:numPr>
      </w:pPr>
      <w:r>
        <w:t xml:space="preserve">Community Philosophy</w:t>
      </w:r>
    </w:p>
    <w:p>
      <w:pPr>
        <w:pStyle w:val="Compact"/>
        <w:numPr>
          <w:ilvl w:val="0"/>
          <w:numId w:val="1001"/>
        </w:numPr>
      </w:pPr>
      <w:r>
        <w:t xml:space="preserve">Canon Governance</w:t>
      </w:r>
    </w:p>
    <w:p>
      <w:pPr>
        <w:pStyle w:val="Compact"/>
        <w:numPr>
          <w:ilvl w:val="0"/>
          <w:numId w:val="1001"/>
        </w:numPr>
      </w:pPr>
      <w:r>
        <w:t xml:space="preserve">Visual Identity</w:t>
      </w:r>
    </w:p>
    <w:p>
      <w:pPr>
        <w:pStyle w:val="Compact"/>
        <w:numPr>
          <w:ilvl w:val="0"/>
          <w:numId w:val="1001"/>
        </w:numPr>
      </w:pPr>
      <w:r>
        <w:t xml:space="preserve">Brand Standards</w:t>
      </w:r>
    </w:p>
    <w:p>
      <w:pPr>
        <w:pStyle w:val="Compact"/>
        <w:numPr>
          <w:ilvl w:val="0"/>
          <w:numId w:val="1001"/>
        </w:numPr>
      </w:pPr>
      <w:r>
        <w:t xml:space="preserve">Operational Standards</w:t>
      </w:r>
    </w:p>
    <w:p>
      <w:pPr>
        <w:pStyle w:val="Compact"/>
        <w:numPr>
          <w:ilvl w:val="0"/>
          <w:numId w:val="1001"/>
        </w:numPr>
      </w:pPr>
      <w:r>
        <w:t xml:space="preserve">Future Expansion</w:t>
      </w:r>
    </w:p>
    <w:p>
      <w:pPr>
        <w:pStyle w:val="Compact"/>
        <w:numPr>
          <w:ilvl w:val="0"/>
          <w:numId w:val="1001"/>
        </w:numPr>
      </w:pPr>
      <w:r>
        <w:t xml:space="preserve">Master Governance</w:t>
      </w:r>
    </w:p>
    <w:bookmarkEnd w:id="23"/>
    <w:bookmarkStart w:id="24" w:name="deliverables"/>
    <w:p>
      <w:pPr>
        <w:pStyle w:val="Heading3"/>
      </w:pPr>
      <w:r>
        <w:t xml:space="preserve">Deliverables</w:t>
      </w:r>
    </w:p>
    <w:p>
      <w:pPr>
        <w:pStyle w:val="Compact"/>
        <w:numPr>
          <w:ilvl w:val="0"/>
          <w:numId w:val="1002"/>
        </w:numPr>
      </w:pPr>
      <w:r>
        <w:t xml:space="preserve">Complete Production Bible</w:t>
      </w:r>
    </w:p>
    <w:p>
      <w:pPr>
        <w:pStyle w:val="Compact"/>
        <w:numPr>
          <w:ilvl w:val="0"/>
          <w:numId w:val="1002"/>
        </w:numPr>
      </w:pPr>
      <w:r>
        <w:t xml:space="preserve">Executive Summary</w:t>
      </w:r>
    </w:p>
    <w:p>
      <w:pPr>
        <w:pStyle w:val="Compact"/>
        <w:numPr>
          <w:ilvl w:val="0"/>
          <w:numId w:val="1002"/>
        </w:numPr>
      </w:pPr>
      <w:r>
        <w:t xml:space="preserve">Quick Reference Guide</w:t>
      </w:r>
    </w:p>
    <w:p>
      <w:r>
        <w:pict>
          <v:rect style="width:0;height:1.5pt" o:hralign="center" o:hrstd="t" o:hr="t"/>
        </w:pict>
      </w:r>
    </w:p>
    <w:bookmarkEnd w:id="24"/>
    <w:bookmarkEnd w:id="25"/>
    <w:bookmarkEnd w:id="26"/>
    <w:bookmarkStart w:id="28" w:name="volume-02-character-bible"/>
    <w:p>
      <w:pPr>
        <w:pStyle w:val="Heading1"/>
      </w:pPr>
      <w:r>
        <w:t xml:space="preserve">Volume 02 — Character Bible</w:t>
      </w:r>
    </w:p>
    <w:bookmarkStart w:id="27" w:name="purpose-2"/>
    <w:p>
      <w:pPr>
        <w:pStyle w:val="Heading2"/>
      </w:pPr>
      <w:r>
        <w:t xml:space="preserve">Purpose</w:t>
      </w:r>
    </w:p>
    <w:p>
      <w:pPr>
        <w:pStyle w:val="FirstParagraph"/>
      </w:pPr>
      <w:r>
        <w:t xml:space="preserve">Defines every character in the Collectiverse universe in sufficient detail that any artist, animator, writer, game developer, toy manufacturer, or licensee can accurately represent them without interpretation.</w:t>
      </w:r>
    </w:p>
    <w:p>
      <w:pPr>
        <w:pStyle w:val="BodyText"/>
      </w:pPr>
      <w:r>
        <w:t xml:space="preserve">This document becomes the definitive production reference for all characters.</w:t>
      </w:r>
    </w:p>
    <w:p>
      <w:r>
        <w:pict>
          <v:rect style="width:0;height:1.5pt" o:hralign="center" o:hrstd="t" o:hr="t"/>
        </w:pict>
      </w:r>
    </w:p>
    <w:bookmarkEnd w:id="27"/>
    <w:bookmarkEnd w:id="28"/>
    <w:bookmarkStart w:id="29" w:name="section-i-character-design-philosophy"/>
    <w:p>
      <w:pPr>
        <w:pStyle w:val="Heading1"/>
      </w:pPr>
      <w:r>
        <w:t xml:space="preserve">Section I — Character Design Philosophy</w:t>
      </w:r>
    </w:p>
    <w:p>
      <w:pPr>
        <w:pStyle w:val="FirstParagraph"/>
      </w:pPr>
      <w:r>
        <w:t xml:space="preserve">Defines the universal design language used throughout Collectiverse.</w:t>
      </w:r>
    </w:p>
    <w:p>
      <w:pPr>
        <w:pStyle w:val="BodyText"/>
      </w:pPr>
      <w:r>
        <w:t xml:space="preserve">Topics include:</w:t>
      </w:r>
    </w:p>
    <w:p>
      <w:pPr>
        <w:pStyle w:val="Compact"/>
        <w:numPr>
          <w:ilvl w:val="0"/>
          <w:numId w:val="1003"/>
        </w:numPr>
      </w:pPr>
      <w:r>
        <w:t xml:space="preserve">Chibi Proportion Standards</w:t>
      </w:r>
    </w:p>
    <w:p>
      <w:pPr>
        <w:pStyle w:val="Compact"/>
        <w:numPr>
          <w:ilvl w:val="0"/>
          <w:numId w:val="1003"/>
        </w:numPr>
      </w:pPr>
      <w:r>
        <w:t xml:space="preserve">Shape Language</w:t>
      </w:r>
    </w:p>
    <w:p>
      <w:pPr>
        <w:pStyle w:val="Compact"/>
        <w:numPr>
          <w:ilvl w:val="0"/>
          <w:numId w:val="1003"/>
        </w:numPr>
      </w:pPr>
      <w:r>
        <w:t xml:space="preserve">Silhouette Recognition</w:t>
      </w:r>
    </w:p>
    <w:p>
      <w:pPr>
        <w:pStyle w:val="Compact"/>
        <w:numPr>
          <w:ilvl w:val="0"/>
          <w:numId w:val="1003"/>
        </w:numPr>
      </w:pPr>
      <w:r>
        <w:t xml:space="preserve">Color Psychology</w:t>
      </w:r>
    </w:p>
    <w:p>
      <w:pPr>
        <w:pStyle w:val="Compact"/>
        <w:numPr>
          <w:ilvl w:val="0"/>
          <w:numId w:val="1003"/>
        </w:numPr>
      </w:pPr>
      <w:r>
        <w:t xml:space="preserve">Material Language</w:t>
      </w:r>
    </w:p>
    <w:p>
      <w:pPr>
        <w:pStyle w:val="Compact"/>
        <w:numPr>
          <w:ilvl w:val="0"/>
          <w:numId w:val="1003"/>
        </w:numPr>
      </w:pPr>
      <w:r>
        <w:t xml:space="preserve">Costume Philosophy</w:t>
      </w:r>
    </w:p>
    <w:p>
      <w:pPr>
        <w:pStyle w:val="Compact"/>
        <w:numPr>
          <w:ilvl w:val="0"/>
          <w:numId w:val="1003"/>
        </w:numPr>
      </w:pPr>
      <w:r>
        <w:t xml:space="preserve">Equipment Design</w:t>
      </w:r>
    </w:p>
    <w:p>
      <w:pPr>
        <w:pStyle w:val="Compact"/>
        <w:numPr>
          <w:ilvl w:val="0"/>
          <w:numId w:val="1003"/>
        </w:numPr>
      </w:pPr>
      <w:r>
        <w:t xml:space="preserve">Character Scale Standards</w:t>
      </w:r>
    </w:p>
    <w:p>
      <w:pPr>
        <w:pStyle w:val="Compact"/>
        <w:numPr>
          <w:ilvl w:val="0"/>
          <w:numId w:val="1003"/>
        </w:numPr>
      </w:pPr>
      <w:r>
        <w:t xml:space="preserve">Visual Readability</w:t>
      </w:r>
    </w:p>
    <w:p>
      <w:pPr>
        <w:pStyle w:val="Compact"/>
        <w:numPr>
          <w:ilvl w:val="0"/>
          <w:numId w:val="1003"/>
        </w:numPr>
      </w:pPr>
      <w:r>
        <w:t xml:space="preserve">Accessibility Considerations</w:t>
      </w:r>
    </w:p>
    <w:p>
      <w:pPr>
        <w:pStyle w:val="Compact"/>
        <w:numPr>
          <w:ilvl w:val="0"/>
          <w:numId w:val="1003"/>
        </w:numPr>
      </w:pPr>
      <w:r>
        <w:t xml:space="preserve">Animation Readability</w:t>
      </w:r>
    </w:p>
    <w:p>
      <w:pPr>
        <w:pStyle w:val="Compact"/>
        <w:numPr>
          <w:ilvl w:val="0"/>
          <w:numId w:val="1003"/>
        </w:numPr>
      </w:pPr>
      <w:r>
        <w:t xml:space="preserve">Expression Standards</w:t>
      </w:r>
    </w:p>
    <w:p>
      <w:r>
        <w:pict>
          <v:rect style="width:0;height:1.5pt" o:hralign="center" o:hrstd="t" o:hr="t"/>
        </w:pict>
      </w:r>
    </w:p>
    <w:bookmarkEnd w:id="29"/>
    <w:bookmarkStart w:id="37" w:name="section-ii-hero-character-profiles"/>
    <w:p>
      <w:pPr>
        <w:pStyle w:val="Heading1"/>
      </w:pPr>
      <w:r>
        <w:t xml:space="preserve">Section II — Hero Character Profiles</w:t>
      </w:r>
    </w:p>
    <w:p>
      <w:pPr>
        <w:pStyle w:val="FirstParagraph"/>
      </w:pPr>
      <w:r>
        <w:t xml:space="preserve">Each Keeper receives a dedicated production chapter.</w:t>
      </w:r>
    </w:p>
    <w:p>
      <w:pPr>
        <w:pStyle w:val="BodyText"/>
      </w:pPr>
      <w:r>
        <w:t xml:space="preserve">The current roster includes:</w:t>
      </w:r>
    </w:p>
    <w:p>
      <w:pPr>
        <w:pStyle w:val="Compact"/>
        <w:numPr>
          <w:ilvl w:val="0"/>
          <w:numId w:val="1004"/>
        </w:numPr>
      </w:pPr>
      <w:r>
        <w:t xml:space="preserve">Atlas</w:t>
      </w:r>
    </w:p>
    <w:p>
      <w:pPr>
        <w:pStyle w:val="Compact"/>
        <w:numPr>
          <w:ilvl w:val="0"/>
          <w:numId w:val="1004"/>
        </w:numPr>
      </w:pPr>
      <w:r>
        <w:t xml:space="preserve">Pixel</w:t>
      </w:r>
    </w:p>
    <w:p>
      <w:pPr>
        <w:pStyle w:val="Compact"/>
        <w:numPr>
          <w:ilvl w:val="0"/>
          <w:numId w:val="1004"/>
        </w:numPr>
      </w:pPr>
      <w:r>
        <w:t xml:space="preserve">Ink</w:t>
      </w:r>
    </w:p>
    <w:p>
      <w:pPr>
        <w:pStyle w:val="Compact"/>
        <w:numPr>
          <w:ilvl w:val="0"/>
          <w:numId w:val="1004"/>
        </w:numPr>
      </w:pPr>
      <w:r>
        <w:t xml:space="preserve">Sterling</w:t>
      </w:r>
    </w:p>
    <w:p>
      <w:pPr>
        <w:pStyle w:val="Compact"/>
        <w:numPr>
          <w:ilvl w:val="0"/>
          <w:numId w:val="1004"/>
        </w:numPr>
      </w:pPr>
      <w:r>
        <w:t xml:space="preserve">Forge</w:t>
      </w:r>
    </w:p>
    <w:p>
      <w:pPr>
        <w:pStyle w:val="Compact"/>
        <w:numPr>
          <w:ilvl w:val="0"/>
          <w:numId w:val="1004"/>
        </w:numPr>
      </w:pPr>
      <w:r>
        <w:t xml:space="preserve">Porter</w:t>
      </w:r>
    </w:p>
    <w:p>
      <w:pPr>
        <w:pStyle w:val="Compact"/>
        <w:numPr>
          <w:ilvl w:val="0"/>
          <w:numId w:val="1004"/>
        </w:numPr>
      </w:pPr>
      <w:r>
        <w:t xml:space="preserve">Echo</w:t>
      </w:r>
    </w:p>
    <w:p>
      <w:pPr>
        <w:pStyle w:val="FirstParagraph"/>
      </w:pPr>
      <w:r>
        <w:t xml:space="preserve">Each chapter will contain:</w:t>
      </w:r>
    </w:p>
    <w:bookmarkStart w:id="30" w:name="executive-overview"/>
    <w:p>
      <w:pPr>
        <w:pStyle w:val="Heading2"/>
      </w:pPr>
      <w:r>
        <w:t xml:space="preserve">Executive Overview</w:t>
      </w:r>
    </w:p>
    <w:p>
      <w:pPr>
        <w:pStyle w:val="FirstParagraph"/>
      </w:pPr>
      <w:r>
        <w:t xml:space="preserve">A concise summary of the character’s purpose within the franchise.</w:t>
      </w:r>
    </w:p>
    <w:bookmarkEnd w:id="30"/>
    <w:bookmarkStart w:id="31" w:name="character-mission"/>
    <w:p>
      <w:pPr>
        <w:pStyle w:val="Heading2"/>
      </w:pPr>
      <w:r>
        <w:t xml:space="preserve">Character Mission</w:t>
      </w:r>
    </w:p>
    <w:p>
      <w:pPr>
        <w:pStyle w:val="FirstParagraph"/>
      </w:pPr>
      <w:r>
        <w:t xml:space="preserve">Why the character exists.</w:t>
      </w:r>
    </w:p>
    <w:bookmarkEnd w:id="31"/>
    <w:bookmarkStart w:id="32" w:name="visual-identity"/>
    <w:p>
      <w:pPr>
        <w:pStyle w:val="Heading2"/>
      </w:pPr>
      <w:r>
        <w:t xml:space="preserve">Visual Identity</w:t>
      </w:r>
    </w:p>
    <w:p>
      <w:pPr>
        <w:pStyle w:val="FirstParagraph"/>
      </w:pPr>
      <w:r>
        <w:t xml:space="preserve">Complete production specifications including:</w:t>
      </w:r>
    </w:p>
    <w:p>
      <w:pPr>
        <w:pStyle w:val="Compact"/>
        <w:numPr>
          <w:ilvl w:val="0"/>
          <w:numId w:val="1005"/>
        </w:numPr>
      </w:pPr>
      <w:r>
        <w:t xml:space="preserve">Species</w:t>
      </w:r>
    </w:p>
    <w:p>
      <w:pPr>
        <w:pStyle w:val="Compact"/>
        <w:numPr>
          <w:ilvl w:val="0"/>
          <w:numId w:val="1005"/>
        </w:numPr>
      </w:pPr>
      <w:r>
        <w:t xml:space="preserve">Height</w:t>
      </w:r>
    </w:p>
    <w:p>
      <w:pPr>
        <w:pStyle w:val="Compact"/>
        <w:numPr>
          <w:ilvl w:val="0"/>
          <w:numId w:val="1005"/>
        </w:numPr>
      </w:pPr>
      <w:r>
        <w:t xml:space="preserve">Scale</w:t>
      </w:r>
    </w:p>
    <w:p>
      <w:pPr>
        <w:pStyle w:val="Compact"/>
        <w:numPr>
          <w:ilvl w:val="0"/>
          <w:numId w:val="1005"/>
        </w:numPr>
      </w:pPr>
      <w:r>
        <w:t xml:space="preserve">Proportions</w:t>
      </w:r>
    </w:p>
    <w:p>
      <w:pPr>
        <w:pStyle w:val="Compact"/>
        <w:numPr>
          <w:ilvl w:val="0"/>
          <w:numId w:val="1005"/>
        </w:numPr>
      </w:pPr>
      <w:r>
        <w:t xml:space="preserve">Silhouette</w:t>
      </w:r>
    </w:p>
    <w:p>
      <w:pPr>
        <w:pStyle w:val="Compact"/>
        <w:numPr>
          <w:ilvl w:val="0"/>
          <w:numId w:val="1005"/>
        </w:numPr>
      </w:pPr>
      <w:r>
        <w:t xml:space="preserve">Anatomy</w:t>
      </w:r>
    </w:p>
    <w:p>
      <w:pPr>
        <w:pStyle w:val="Compact"/>
        <w:numPr>
          <w:ilvl w:val="0"/>
          <w:numId w:val="1005"/>
        </w:numPr>
      </w:pPr>
      <w:r>
        <w:t xml:space="preserve">Materials</w:t>
      </w:r>
    </w:p>
    <w:p>
      <w:pPr>
        <w:pStyle w:val="Compact"/>
        <w:numPr>
          <w:ilvl w:val="0"/>
          <w:numId w:val="1005"/>
        </w:numPr>
      </w:pPr>
      <w:r>
        <w:t xml:space="preserve">Surface Finish</w:t>
      </w:r>
    </w:p>
    <w:p>
      <w:pPr>
        <w:pStyle w:val="Compact"/>
        <w:numPr>
          <w:ilvl w:val="0"/>
          <w:numId w:val="1005"/>
        </w:numPr>
      </w:pPr>
      <w:r>
        <w:t xml:space="preserve">Color Palette</w:t>
      </w:r>
    </w:p>
    <w:p>
      <w:pPr>
        <w:pStyle w:val="Compact"/>
        <w:numPr>
          <w:ilvl w:val="0"/>
          <w:numId w:val="1005"/>
        </w:numPr>
      </w:pPr>
      <w:r>
        <w:t xml:space="preserve">Color Values</w:t>
      </w:r>
    </w:p>
    <w:p>
      <w:pPr>
        <w:pStyle w:val="Compact"/>
        <w:numPr>
          <w:ilvl w:val="0"/>
          <w:numId w:val="1005"/>
        </w:numPr>
      </w:pPr>
      <w:r>
        <w:t xml:space="preserve">Accessories</w:t>
      </w:r>
    </w:p>
    <w:p>
      <w:pPr>
        <w:pStyle w:val="Compact"/>
        <w:numPr>
          <w:ilvl w:val="0"/>
          <w:numId w:val="1005"/>
        </w:numPr>
      </w:pPr>
      <w:r>
        <w:t xml:space="preserve">Clothing</w:t>
      </w:r>
    </w:p>
    <w:p>
      <w:pPr>
        <w:pStyle w:val="Compact"/>
        <w:numPr>
          <w:ilvl w:val="0"/>
          <w:numId w:val="1005"/>
        </w:numPr>
      </w:pPr>
      <w:r>
        <w:t xml:space="preserve">Equipment</w:t>
      </w:r>
    </w:p>
    <w:p>
      <w:pPr>
        <w:pStyle w:val="Compact"/>
        <w:numPr>
          <w:ilvl w:val="0"/>
          <w:numId w:val="1005"/>
        </w:numPr>
      </w:pPr>
      <w:r>
        <w:t xml:space="preserve">Badge Placement</w:t>
      </w:r>
    </w:p>
    <w:p>
      <w:pPr>
        <w:pStyle w:val="Compact"/>
        <w:numPr>
          <w:ilvl w:val="0"/>
          <w:numId w:val="1005"/>
        </w:numPr>
      </w:pPr>
      <w:r>
        <w:t xml:space="preserve">Iconography</w:t>
      </w:r>
    </w:p>
    <w:bookmarkEnd w:id="32"/>
    <w:bookmarkStart w:id="33" w:name="personality"/>
    <w:p>
      <w:pPr>
        <w:pStyle w:val="Heading2"/>
      </w:pPr>
      <w:r>
        <w:t xml:space="preserve">Personality</w:t>
      </w:r>
    </w:p>
    <w:p>
      <w:pPr>
        <w:pStyle w:val="FirstParagraph"/>
      </w:pPr>
      <w:r>
        <w:t xml:space="preserve">Including:</w:t>
      </w:r>
    </w:p>
    <w:p>
      <w:pPr>
        <w:pStyle w:val="Compact"/>
        <w:numPr>
          <w:ilvl w:val="0"/>
          <w:numId w:val="1006"/>
        </w:numPr>
      </w:pPr>
      <w:r>
        <w:t xml:space="preserve">Core Traits</w:t>
      </w:r>
    </w:p>
    <w:p>
      <w:pPr>
        <w:pStyle w:val="Compact"/>
        <w:numPr>
          <w:ilvl w:val="0"/>
          <w:numId w:val="1006"/>
        </w:numPr>
      </w:pPr>
      <w:r>
        <w:t xml:space="preserve">Strengths</w:t>
      </w:r>
    </w:p>
    <w:p>
      <w:pPr>
        <w:pStyle w:val="Compact"/>
        <w:numPr>
          <w:ilvl w:val="0"/>
          <w:numId w:val="1006"/>
        </w:numPr>
      </w:pPr>
      <w:r>
        <w:t xml:space="preserve">Weaknesses</w:t>
      </w:r>
    </w:p>
    <w:p>
      <w:pPr>
        <w:pStyle w:val="Compact"/>
        <w:numPr>
          <w:ilvl w:val="0"/>
          <w:numId w:val="1006"/>
        </w:numPr>
      </w:pPr>
      <w:r>
        <w:t xml:space="preserve">Motivations</w:t>
      </w:r>
    </w:p>
    <w:p>
      <w:pPr>
        <w:pStyle w:val="Compact"/>
        <w:numPr>
          <w:ilvl w:val="0"/>
          <w:numId w:val="1006"/>
        </w:numPr>
      </w:pPr>
      <w:r>
        <w:t xml:space="preserve">Values</w:t>
      </w:r>
    </w:p>
    <w:p>
      <w:pPr>
        <w:pStyle w:val="Compact"/>
        <w:numPr>
          <w:ilvl w:val="0"/>
          <w:numId w:val="1006"/>
        </w:numPr>
      </w:pPr>
      <w:r>
        <w:t xml:space="preserve">Fears</w:t>
      </w:r>
    </w:p>
    <w:p>
      <w:pPr>
        <w:pStyle w:val="Compact"/>
        <w:numPr>
          <w:ilvl w:val="0"/>
          <w:numId w:val="1006"/>
        </w:numPr>
      </w:pPr>
      <w:r>
        <w:t xml:space="preserve">Habits</w:t>
      </w:r>
    </w:p>
    <w:p>
      <w:pPr>
        <w:pStyle w:val="Compact"/>
        <w:numPr>
          <w:ilvl w:val="0"/>
          <w:numId w:val="1006"/>
        </w:numPr>
      </w:pPr>
      <w:r>
        <w:t xml:space="preserve">Leadership Style</w:t>
      </w:r>
    </w:p>
    <w:p>
      <w:pPr>
        <w:pStyle w:val="Compact"/>
        <w:numPr>
          <w:ilvl w:val="0"/>
          <w:numId w:val="1006"/>
        </w:numPr>
      </w:pPr>
      <w:r>
        <w:t xml:space="preserve">Humor Style</w:t>
      </w:r>
    </w:p>
    <w:p>
      <w:pPr>
        <w:pStyle w:val="Compact"/>
        <w:numPr>
          <w:ilvl w:val="0"/>
          <w:numId w:val="1006"/>
        </w:numPr>
      </w:pPr>
      <w:r>
        <w:t xml:space="preserve">Communication Style</w:t>
      </w:r>
    </w:p>
    <w:bookmarkEnd w:id="33"/>
    <w:bookmarkStart w:id="34" w:name="performance-standards"/>
    <w:p>
      <w:pPr>
        <w:pStyle w:val="Heading2"/>
      </w:pPr>
      <w:r>
        <w:t xml:space="preserve">Performance Standards</w:t>
      </w:r>
    </w:p>
    <w:p>
      <w:pPr>
        <w:pStyle w:val="FirstParagraph"/>
      </w:pPr>
      <w:r>
        <w:t xml:space="preserve">Including:</w:t>
      </w:r>
    </w:p>
    <w:p>
      <w:pPr>
        <w:pStyle w:val="Compact"/>
        <w:numPr>
          <w:ilvl w:val="0"/>
          <w:numId w:val="1007"/>
        </w:numPr>
      </w:pPr>
      <w:r>
        <w:t xml:space="preserve">Idle Pose</w:t>
      </w:r>
    </w:p>
    <w:p>
      <w:pPr>
        <w:pStyle w:val="Compact"/>
        <w:numPr>
          <w:ilvl w:val="0"/>
          <w:numId w:val="1007"/>
        </w:numPr>
      </w:pPr>
      <w:r>
        <w:t xml:space="preserve">Walk Cycle</w:t>
      </w:r>
    </w:p>
    <w:p>
      <w:pPr>
        <w:pStyle w:val="Compact"/>
        <w:numPr>
          <w:ilvl w:val="0"/>
          <w:numId w:val="1007"/>
        </w:numPr>
      </w:pPr>
      <w:r>
        <w:t xml:space="preserve">Run Cycle</w:t>
      </w:r>
    </w:p>
    <w:p>
      <w:pPr>
        <w:pStyle w:val="Compact"/>
        <w:numPr>
          <w:ilvl w:val="0"/>
          <w:numId w:val="1007"/>
        </w:numPr>
      </w:pPr>
      <w:r>
        <w:t xml:space="preserve">Jump</w:t>
      </w:r>
    </w:p>
    <w:p>
      <w:pPr>
        <w:pStyle w:val="Compact"/>
        <w:numPr>
          <w:ilvl w:val="0"/>
          <w:numId w:val="1007"/>
        </w:numPr>
      </w:pPr>
      <w:r>
        <w:t xml:space="preserve">Landing</w:t>
      </w:r>
    </w:p>
    <w:p>
      <w:pPr>
        <w:pStyle w:val="Compact"/>
        <w:numPr>
          <w:ilvl w:val="0"/>
          <w:numId w:val="1007"/>
        </w:numPr>
      </w:pPr>
      <w:r>
        <w:t xml:space="preserve">Turning</w:t>
      </w:r>
    </w:p>
    <w:p>
      <w:pPr>
        <w:pStyle w:val="Compact"/>
        <w:numPr>
          <w:ilvl w:val="0"/>
          <w:numId w:val="1007"/>
        </w:numPr>
      </w:pPr>
      <w:r>
        <w:t xml:space="preserve">Looking</w:t>
      </w:r>
    </w:p>
    <w:p>
      <w:pPr>
        <w:pStyle w:val="Compact"/>
        <w:numPr>
          <w:ilvl w:val="0"/>
          <w:numId w:val="1007"/>
        </w:numPr>
      </w:pPr>
      <w:r>
        <w:t xml:space="preserve">Picking Up Objects</w:t>
      </w:r>
    </w:p>
    <w:p>
      <w:pPr>
        <w:pStyle w:val="Compact"/>
        <w:numPr>
          <w:ilvl w:val="0"/>
          <w:numId w:val="1007"/>
        </w:numPr>
      </w:pPr>
      <w:r>
        <w:t xml:space="preserve">Speaking</w:t>
      </w:r>
    </w:p>
    <w:p>
      <w:pPr>
        <w:pStyle w:val="Compact"/>
        <w:numPr>
          <w:ilvl w:val="0"/>
          <w:numId w:val="1007"/>
        </w:numPr>
      </w:pPr>
      <w:r>
        <w:t xml:space="preserve">Laughing</w:t>
      </w:r>
    </w:p>
    <w:p>
      <w:pPr>
        <w:pStyle w:val="Compact"/>
        <w:numPr>
          <w:ilvl w:val="0"/>
          <w:numId w:val="1007"/>
        </w:numPr>
      </w:pPr>
      <w:r>
        <w:t xml:space="preserve">Surprised Expression</w:t>
      </w:r>
    </w:p>
    <w:p>
      <w:pPr>
        <w:pStyle w:val="Compact"/>
        <w:numPr>
          <w:ilvl w:val="0"/>
          <w:numId w:val="1007"/>
        </w:numPr>
      </w:pPr>
      <w:r>
        <w:t xml:space="preserve">Angry Expression</w:t>
      </w:r>
    </w:p>
    <w:p>
      <w:pPr>
        <w:pStyle w:val="Compact"/>
        <w:numPr>
          <w:ilvl w:val="0"/>
          <w:numId w:val="1007"/>
        </w:numPr>
      </w:pPr>
      <w:r>
        <w:t xml:space="preserve">Sad Expression</w:t>
      </w:r>
    </w:p>
    <w:p>
      <w:pPr>
        <w:pStyle w:val="Compact"/>
        <w:numPr>
          <w:ilvl w:val="0"/>
          <w:numId w:val="1007"/>
        </w:numPr>
      </w:pPr>
      <w:r>
        <w:t xml:space="preserve">Celebration</w:t>
      </w:r>
    </w:p>
    <w:p>
      <w:pPr>
        <w:pStyle w:val="Compact"/>
        <w:numPr>
          <w:ilvl w:val="0"/>
          <w:numId w:val="1007"/>
        </w:numPr>
      </w:pPr>
      <w:r>
        <w:t xml:space="preserve">Defeat</w:t>
      </w:r>
    </w:p>
    <w:p>
      <w:pPr>
        <w:pStyle w:val="Compact"/>
        <w:numPr>
          <w:ilvl w:val="0"/>
          <w:numId w:val="1007"/>
        </w:numPr>
      </w:pPr>
      <w:r>
        <w:t xml:space="preserve">Signature Pose</w:t>
      </w:r>
    </w:p>
    <w:bookmarkEnd w:id="34"/>
    <w:bookmarkStart w:id="35" w:name="story-standards"/>
    <w:p>
      <w:pPr>
        <w:pStyle w:val="Heading2"/>
      </w:pPr>
      <w:r>
        <w:t xml:space="preserve">Story Standards</w:t>
      </w:r>
    </w:p>
    <w:p>
      <w:pPr>
        <w:pStyle w:val="FirstParagraph"/>
      </w:pPr>
      <w:r>
        <w:t xml:space="preserve">Including:</w:t>
      </w:r>
    </w:p>
    <w:p>
      <w:pPr>
        <w:pStyle w:val="Compact"/>
        <w:numPr>
          <w:ilvl w:val="0"/>
          <w:numId w:val="1008"/>
        </w:numPr>
      </w:pPr>
      <w:r>
        <w:t xml:space="preserve">Character Purpose</w:t>
      </w:r>
    </w:p>
    <w:p>
      <w:pPr>
        <w:pStyle w:val="Compact"/>
        <w:numPr>
          <w:ilvl w:val="0"/>
          <w:numId w:val="1008"/>
        </w:numPr>
      </w:pPr>
      <w:r>
        <w:t xml:space="preserve">Narrative Role</w:t>
      </w:r>
    </w:p>
    <w:p>
      <w:pPr>
        <w:pStyle w:val="Compact"/>
        <w:numPr>
          <w:ilvl w:val="0"/>
          <w:numId w:val="1008"/>
        </w:numPr>
      </w:pPr>
      <w:r>
        <w:t xml:space="preserve">Internal Conflict</w:t>
      </w:r>
    </w:p>
    <w:p>
      <w:pPr>
        <w:pStyle w:val="Compact"/>
        <w:numPr>
          <w:ilvl w:val="0"/>
          <w:numId w:val="1008"/>
        </w:numPr>
      </w:pPr>
      <w:r>
        <w:t xml:space="preserve">External Conflict</w:t>
      </w:r>
    </w:p>
    <w:p>
      <w:pPr>
        <w:pStyle w:val="Compact"/>
        <w:numPr>
          <w:ilvl w:val="0"/>
          <w:numId w:val="1008"/>
        </w:numPr>
      </w:pPr>
      <w:r>
        <w:t xml:space="preserve">Growth Arc</w:t>
      </w:r>
    </w:p>
    <w:p>
      <w:pPr>
        <w:pStyle w:val="Compact"/>
        <w:numPr>
          <w:ilvl w:val="0"/>
          <w:numId w:val="1008"/>
        </w:numPr>
      </w:pPr>
      <w:r>
        <w:t xml:space="preserve">Decision Making</w:t>
      </w:r>
    </w:p>
    <w:p>
      <w:pPr>
        <w:pStyle w:val="Compact"/>
        <w:numPr>
          <w:ilvl w:val="0"/>
          <w:numId w:val="1008"/>
        </w:numPr>
      </w:pPr>
      <w:r>
        <w:t xml:space="preserve">Relationships</w:t>
      </w:r>
    </w:p>
    <w:p>
      <w:pPr>
        <w:pStyle w:val="Compact"/>
        <w:numPr>
          <w:ilvl w:val="0"/>
          <w:numId w:val="1008"/>
        </w:numPr>
      </w:pPr>
      <w:r>
        <w:t xml:space="preserve">Story Restrictions</w:t>
      </w:r>
    </w:p>
    <w:p>
      <w:pPr>
        <w:pStyle w:val="Compact"/>
        <w:numPr>
          <w:ilvl w:val="0"/>
          <w:numId w:val="1008"/>
        </w:numPr>
      </w:pPr>
      <w:r>
        <w:t xml:space="preserve">Canon Requirements</w:t>
      </w:r>
    </w:p>
    <w:bookmarkEnd w:id="35"/>
    <w:bookmarkStart w:id="36" w:name="production-standards"/>
    <w:p>
      <w:pPr>
        <w:pStyle w:val="Heading2"/>
      </w:pPr>
      <w:r>
        <w:t xml:space="preserve">Production Standards</w:t>
      </w:r>
    </w:p>
    <w:p>
      <w:pPr>
        <w:pStyle w:val="FirstParagraph"/>
      </w:pPr>
      <w:r>
        <w:t xml:space="preserve">Including:</w:t>
      </w:r>
    </w:p>
    <w:p>
      <w:pPr>
        <w:pStyle w:val="Compact"/>
        <w:numPr>
          <w:ilvl w:val="0"/>
          <w:numId w:val="1009"/>
        </w:numPr>
      </w:pPr>
      <w:r>
        <w:t xml:space="preserve">Rendering Notes</w:t>
      </w:r>
    </w:p>
    <w:p>
      <w:pPr>
        <w:pStyle w:val="Compact"/>
        <w:numPr>
          <w:ilvl w:val="0"/>
          <w:numId w:val="1009"/>
        </w:numPr>
      </w:pPr>
      <w:r>
        <w:t xml:space="preserve">Lighting Notes</w:t>
      </w:r>
    </w:p>
    <w:p>
      <w:pPr>
        <w:pStyle w:val="Compact"/>
        <w:numPr>
          <w:ilvl w:val="0"/>
          <w:numId w:val="1009"/>
        </w:numPr>
      </w:pPr>
      <w:r>
        <w:t xml:space="preserve">Animation Notes</w:t>
      </w:r>
    </w:p>
    <w:p>
      <w:pPr>
        <w:pStyle w:val="Compact"/>
        <w:numPr>
          <w:ilvl w:val="0"/>
          <w:numId w:val="1009"/>
        </w:numPr>
      </w:pPr>
      <w:r>
        <w:t xml:space="preserve">Merchandise Standards</w:t>
      </w:r>
    </w:p>
    <w:p>
      <w:pPr>
        <w:pStyle w:val="Compact"/>
        <w:numPr>
          <w:ilvl w:val="0"/>
          <w:numId w:val="1009"/>
        </w:numPr>
      </w:pPr>
      <w:r>
        <w:t xml:space="preserve">Licensing Requirements</w:t>
      </w:r>
    </w:p>
    <w:p>
      <w:pPr>
        <w:pStyle w:val="Compact"/>
        <w:numPr>
          <w:ilvl w:val="0"/>
          <w:numId w:val="1009"/>
        </w:numPr>
      </w:pPr>
      <w:r>
        <w:t xml:space="preserve">Approved Variations</w:t>
      </w:r>
    </w:p>
    <w:p>
      <w:pPr>
        <w:pStyle w:val="Compact"/>
        <w:numPr>
          <w:ilvl w:val="0"/>
          <w:numId w:val="1009"/>
        </w:numPr>
      </w:pPr>
      <w:r>
        <w:t xml:space="preserve">Prohibited Variations</w:t>
      </w:r>
    </w:p>
    <w:p>
      <w:r>
        <w:pict>
          <v:rect style="width:0;height:1.5pt" o:hralign="center" o:hrstd="t" o:hr="t"/>
        </w:pict>
      </w:r>
    </w:p>
    <w:bookmarkEnd w:id="36"/>
    <w:bookmarkEnd w:id="37"/>
    <w:bookmarkStart w:id="38" w:name="section-iii-villain-character-profiles"/>
    <w:p>
      <w:pPr>
        <w:pStyle w:val="Heading1"/>
      </w:pPr>
      <w:r>
        <w:t xml:space="preserve">Section III — Villain Character Profiles</w:t>
      </w:r>
    </w:p>
    <w:p>
      <w:pPr>
        <w:pStyle w:val="FirstParagraph"/>
      </w:pPr>
      <w:r>
        <w:t xml:space="preserve">Each Syndicate member receives the same production treatment.</w:t>
      </w:r>
    </w:p>
    <w:p>
      <w:pPr>
        <w:pStyle w:val="BodyText"/>
      </w:pPr>
      <w:r>
        <w:t xml:space="preserve">Current roster:</w:t>
      </w:r>
    </w:p>
    <w:p>
      <w:pPr>
        <w:pStyle w:val="Compact"/>
        <w:numPr>
          <w:ilvl w:val="0"/>
          <w:numId w:val="1010"/>
        </w:numPr>
      </w:pPr>
      <w:r>
        <w:t xml:space="preserve">The Director</w:t>
      </w:r>
    </w:p>
    <w:p>
      <w:pPr>
        <w:pStyle w:val="Compact"/>
        <w:numPr>
          <w:ilvl w:val="0"/>
          <w:numId w:val="1010"/>
        </w:numPr>
      </w:pPr>
      <w:r>
        <w:t xml:space="preserve">The Counterfeiter</w:t>
      </w:r>
    </w:p>
    <w:p>
      <w:pPr>
        <w:pStyle w:val="Compact"/>
        <w:numPr>
          <w:ilvl w:val="0"/>
          <w:numId w:val="1010"/>
        </w:numPr>
      </w:pPr>
      <w:r>
        <w:t xml:space="preserve">The Hacker</w:t>
      </w:r>
    </w:p>
    <w:p>
      <w:pPr>
        <w:pStyle w:val="Compact"/>
        <w:numPr>
          <w:ilvl w:val="0"/>
          <w:numId w:val="1010"/>
        </w:numPr>
      </w:pPr>
      <w:r>
        <w:t xml:space="preserve">The Hoarder</w:t>
      </w:r>
    </w:p>
    <w:p>
      <w:pPr>
        <w:pStyle w:val="Compact"/>
        <w:numPr>
          <w:ilvl w:val="0"/>
          <w:numId w:val="1010"/>
        </w:numPr>
      </w:pPr>
      <w:r>
        <w:t xml:space="preserve">The Restorer</w:t>
      </w:r>
    </w:p>
    <w:p>
      <w:pPr>
        <w:pStyle w:val="Compact"/>
        <w:numPr>
          <w:ilvl w:val="0"/>
          <w:numId w:val="1010"/>
        </w:numPr>
      </w:pPr>
      <w:r>
        <w:t xml:space="preserve">The Smuggler</w:t>
      </w:r>
    </w:p>
    <w:p>
      <w:pPr>
        <w:pStyle w:val="FirstParagraph"/>
      </w:pPr>
      <w:r>
        <w:t xml:space="preserve">Each villain chapter follows the same structure as the hero chapters while emphasizing motivations, philosophy, methods, and their opposing relationship to the Keepers.</w:t>
      </w:r>
    </w:p>
    <w:p>
      <w:r>
        <w:pict>
          <v:rect style="width:0;height:1.5pt" o:hralign="center" o:hrstd="t" o:hr="t"/>
        </w:pict>
      </w:r>
    </w:p>
    <w:bookmarkEnd w:id="38"/>
    <w:bookmarkStart w:id="39" w:name="section-iv-character-relationship-bible"/>
    <w:p>
      <w:pPr>
        <w:pStyle w:val="Heading1"/>
      </w:pPr>
      <w:r>
        <w:t xml:space="preserve">Section IV — Character Relationship Bible</w:t>
      </w:r>
    </w:p>
    <w:p>
      <w:pPr>
        <w:pStyle w:val="FirstParagraph"/>
      </w:pPr>
      <w:r>
        <w:t xml:space="preserve">Documents how every major character interacts with every other major character.</w:t>
      </w:r>
    </w:p>
    <w:p>
      <w:pPr>
        <w:pStyle w:val="BodyText"/>
      </w:pPr>
      <w:r>
        <w:t xml:space="preserve">Topics include:</w:t>
      </w:r>
    </w:p>
    <w:p>
      <w:pPr>
        <w:pStyle w:val="Compact"/>
        <w:numPr>
          <w:ilvl w:val="0"/>
          <w:numId w:val="1011"/>
        </w:numPr>
      </w:pPr>
      <w:r>
        <w:t xml:space="preserve">Trust Levels</w:t>
      </w:r>
    </w:p>
    <w:p>
      <w:pPr>
        <w:pStyle w:val="Compact"/>
        <w:numPr>
          <w:ilvl w:val="0"/>
          <w:numId w:val="1011"/>
        </w:numPr>
      </w:pPr>
      <w:r>
        <w:t xml:space="preserve">Friendships</w:t>
      </w:r>
    </w:p>
    <w:p>
      <w:pPr>
        <w:pStyle w:val="Compact"/>
        <w:numPr>
          <w:ilvl w:val="0"/>
          <w:numId w:val="1011"/>
        </w:numPr>
      </w:pPr>
      <w:r>
        <w:t xml:space="preserve">Rivalries</w:t>
      </w:r>
    </w:p>
    <w:p>
      <w:pPr>
        <w:pStyle w:val="Compact"/>
        <w:numPr>
          <w:ilvl w:val="0"/>
          <w:numId w:val="1011"/>
        </w:numPr>
      </w:pPr>
      <w:r>
        <w:t xml:space="preserve">Mentorships</w:t>
      </w:r>
    </w:p>
    <w:p>
      <w:pPr>
        <w:pStyle w:val="Compact"/>
        <w:numPr>
          <w:ilvl w:val="0"/>
          <w:numId w:val="1011"/>
        </w:numPr>
      </w:pPr>
      <w:r>
        <w:t xml:space="preserve">Communication Styles</w:t>
      </w:r>
    </w:p>
    <w:p>
      <w:pPr>
        <w:pStyle w:val="Compact"/>
        <w:numPr>
          <w:ilvl w:val="0"/>
          <w:numId w:val="1011"/>
        </w:numPr>
      </w:pPr>
      <w:r>
        <w:t xml:space="preserve">Team Dynamics</w:t>
      </w:r>
    </w:p>
    <w:p>
      <w:pPr>
        <w:pStyle w:val="Compact"/>
        <w:numPr>
          <w:ilvl w:val="0"/>
          <w:numId w:val="1011"/>
        </w:numPr>
      </w:pPr>
      <w:r>
        <w:t xml:space="preserve">Emotional Connections</w:t>
      </w:r>
    </w:p>
    <w:p>
      <w:pPr>
        <w:pStyle w:val="Compact"/>
        <w:numPr>
          <w:ilvl w:val="0"/>
          <w:numId w:val="1011"/>
        </w:numPr>
      </w:pPr>
      <w:r>
        <w:t xml:space="preserve">Shared History</w:t>
      </w:r>
    </w:p>
    <w:p>
      <w:pPr>
        <w:pStyle w:val="Compact"/>
        <w:numPr>
          <w:ilvl w:val="0"/>
          <w:numId w:val="1011"/>
        </w:numPr>
      </w:pPr>
      <w:r>
        <w:t xml:space="preserve">Conflict Patterns</w:t>
      </w:r>
    </w:p>
    <w:p>
      <w:pPr>
        <w:pStyle w:val="Compact"/>
        <w:numPr>
          <w:ilvl w:val="0"/>
          <w:numId w:val="1011"/>
        </w:numPr>
      </w:pPr>
      <w:r>
        <w:t xml:space="preserve">Humor Compatibility</w:t>
      </w:r>
    </w:p>
    <w:p>
      <w:pPr>
        <w:pStyle w:val="Compact"/>
        <w:numPr>
          <w:ilvl w:val="0"/>
          <w:numId w:val="1011"/>
        </w:numPr>
      </w:pPr>
      <w:r>
        <w:t xml:space="preserve">Mission Compatibility</w:t>
      </w:r>
    </w:p>
    <w:p>
      <w:pPr>
        <w:pStyle w:val="FirstParagraph"/>
      </w:pPr>
      <w:r>
        <w:t xml:space="preserve">This section provides a consistent foundation for writers and animators.</w:t>
      </w:r>
    </w:p>
    <w:p>
      <w:r>
        <w:pict>
          <v:rect style="width:0;height:1.5pt" o:hralign="center" o:hrstd="t" o:hr="t"/>
        </w:pict>
      </w:r>
    </w:p>
    <w:bookmarkEnd w:id="39"/>
    <w:bookmarkStart w:id="40" w:name="Xcd4ba3bbb43a73d6a4c489eaaf6eef44221bb61"/>
    <w:p>
      <w:pPr>
        <w:pStyle w:val="Heading1"/>
      </w:pPr>
      <w:r>
        <w:t xml:space="preserve">Section V — Production Performance Standards</w:t>
      </w:r>
    </w:p>
    <w:p>
      <w:pPr>
        <w:pStyle w:val="FirstParagraph"/>
      </w:pPr>
      <w:r>
        <w:t xml:space="preserve">Defines how every character behaves in animation and interactive media.</w:t>
      </w:r>
    </w:p>
    <w:p>
      <w:pPr>
        <w:pStyle w:val="BodyText"/>
      </w:pPr>
      <w:r>
        <w:t xml:space="preserve">Topics include:</w:t>
      </w:r>
    </w:p>
    <w:p>
      <w:pPr>
        <w:pStyle w:val="Compact"/>
        <w:numPr>
          <w:ilvl w:val="0"/>
          <w:numId w:val="1012"/>
        </w:numPr>
      </w:pPr>
      <w:r>
        <w:t xml:space="preserve">Movement Language</w:t>
      </w:r>
    </w:p>
    <w:p>
      <w:pPr>
        <w:pStyle w:val="Compact"/>
        <w:numPr>
          <w:ilvl w:val="0"/>
          <w:numId w:val="1012"/>
        </w:numPr>
      </w:pPr>
      <w:r>
        <w:t xml:space="preserve">Gesture Library</w:t>
      </w:r>
    </w:p>
    <w:p>
      <w:pPr>
        <w:pStyle w:val="Compact"/>
        <w:numPr>
          <w:ilvl w:val="0"/>
          <w:numId w:val="1012"/>
        </w:numPr>
      </w:pPr>
      <w:r>
        <w:t xml:space="preserve">Facial Expression Standards</w:t>
      </w:r>
    </w:p>
    <w:p>
      <w:pPr>
        <w:pStyle w:val="Compact"/>
        <w:numPr>
          <w:ilvl w:val="0"/>
          <w:numId w:val="1012"/>
        </w:numPr>
      </w:pPr>
      <w:r>
        <w:t xml:space="preserve">Eye Direction</w:t>
      </w:r>
    </w:p>
    <w:p>
      <w:pPr>
        <w:pStyle w:val="Compact"/>
        <w:numPr>
          <w:ilvl w:val="0"/>
          <w:numId w:val="1012"/>
        </w:numPr>
      </w:pPr>
      <w:r>
        <w:t xml:space="preserve">Hand Poses</w:t>
      </w:r>
    </w:p>
    <w:p>
      <w:pPr>
        <w:pStyle w:val="Compact"/>
        <w:numPr>
          <w:ilvl w:val="0"/>
          <w:numId w:val="1012"/>
        </w:numPr>
      </w:pPr>
      <w:r>
        <w:t xml:space="preserve">Physical Comedy</w:t>
      </w:r>
    </w:p>
    <w:p>
      <w:pPr>
        <w:pStyle w:val="Compact"/>
        <w:numPr>
          <w:ilvl w:val="0"/>
          <w:numId w:val="1012"/>
        </w:numPr>
      </w:pPr>
      <w:r>
        <w:t xml:space="preserve">Emotional Performance</w:t>
      </w:r>
    </w:p>
    <w:p>
      <w:pPr>
        <w:pStyle w:val="Compact"/>
        <w:numPr>
          <w:ilvl w:val="0"/>
          <w:numId w:val="1012"/>
        </w:numPr>
      </w:pPr>
      <w:r>
        <w:t xml:space="preserve">Interaction Rules</w:t>
      </w:r>
    </w:p>
    <w:p>
      <w:pPr>
        <w:pStyle w:val="Compact"/>
        <w:numPr>
          <w:ilvl w:val="0"/>
          <w:numId w:val="1012"/>
        </w:numPr>
      </w:pPr>
      <w:r>
        <w:t xml:space="preserve">Group Staging</w:t>
      </w:r>
    </w:p>
    <w:p>
      <w:pPr>
        <w:pStyle w:val="Compact"/>
        <w:numPr>
          <w:ilvl w:val="0"/>
          <w:numId w:val="1012"/>
        </w:numPr>
      </w:pPr>
      <w:r>
        <w:t xml:space="preserve">Camera Readability</w:t>
      </w:r>
    </w:p>
    <w:p>
      <w:r>
        <w:pict>
          <v:rect style="width:0;height:1.5pt" o:hralign="center" o:hrstd="t" o:hr="t"/>
        </w:pict>
      </w:r>
    </w:p>
    <w:bookmarkEnd w:id="40"/>
    <w:bookmarkStart w:id="41" w:name="section-vi-merchandise-standards"/>
    <w:p>
      <w:pPr>
        <w:pStyle w:val="Heading1"/>
      </w:pPr>
      <w:r>
        <w:t xml:space="preserve">Section VI — Merchandise Standards</w:t>
      </w:r>
    </w:p>
    <w:p>
      <w:pPr>
        <w:pStyle w:val="FirstParagraph"/>
      </w:pPr>
      <w:r>
        <w:t xml:space="preserve">Defines how characters appear across licensed products.</w:t>
      </w:r>
    </w:p>
    <w:p>
      <w:pPr>
        <w:pStyle w:val="BodyText"/>
      </w:pPr>
      <w:r>
        <w:t xml:space="preserve">Includes standards for:</w:t>
      </w:r>
    </w:p>
    <w:p>
      <w:pPr>
        <w:pStyle w:val="Compact"/>
        <w:numPr>
          <w:ilvl w:val="0"/>
          <w:numId w:val="1013"/>
        </w:numPr>
      </w:pPr>
      <w:r>
        <w:t xml:space="preserve">Action Figures</w:t>
      </w:r>
    </w:p>
    <w:p>
      <w:pPr>
        <w:pStyle w:val="Compact"/>
        <w:numPr>
          <w:ilvl w:val="0"/>
          <w:numId w:val="1013"/>
        </w:numPr>
      </w:pPr>
      <w:r>
        <w:t xml:space="preserve">Plush Toys</w:t>
      </w:r>
    </w:p>
    <w:p>
      <w:pPr>
        <w:pStyle w:val="Compact"/>
        <w:numPr>
          <w:ilvl w:val="0"/>
          <w:numId w:val="1013"/>
        </w:numPr>
      </w:pPr>
      <w:r>
        <w:t xml:space="preserve">Statues</w:t>
      </w:r>
    </w:p>
    <w:p>
      <w:pPr>
        <w:pStyle w:val="Compact"/>
        <w:numPr>
          <w:ilvl w:val="0"/>
          <w:numId w:val="1013"/>
        </w:numPr>
      </w:pPr>
      <w:r>
        <w:t xml:space="preserve">Trading Cards</w:t>
      </w:r>
    </w:p>
    <w:p>
      <w:pPr>
        <w:pStyle w:val="Compact"/>
        <w:numPr>
          <w:ilvl w:val="0"/>
          <w:numId w:val="1013"/>
        </w:numPr>
      </w:pPr>
      <w:r>
        <w:t xml:space="preserve">Packaging</w:t>
      </w:r>
    </w:p>
    <w:p>
      <w:pPr>
        <w:pStyle w:val="Compact"/>
        <w:numPr>
          <w:ilvl w:val="0"/>
          <w:numId w:val="1013"/>
        </w:numPr>
      </w:pPr>
      <w:r>
        <w:t xml:space="preserve">Apparel</w:t>
      </w:r>
    </w:p>
    <w:p>
      <w:pPr>
        <w:pStyle w:val="Compact"/>
        <w:numPr>
          <w:ilvl w:val="0"/>
          <w:numId w:val="1013"/>
        </w:numPr>
      </w:pPr>
      <w:r>
        <w:t xml:space="preserve">Books</w:t>
      </w:r>
    </w:p>
    <w:p>
      <w:pPr>
        <w:pStyle w:val="Compact"/>
        <w:numPr>
          <w:ilvl w:val="0"/>
          <w:numId w:val="1013"/>
        </w:numPr>
      </w:pPr>
      <w:r>
        <w:t xml:space="preserve">Promotional Art</w:t>
      </w:r>
    </w:p>
    <w:p>
      <w:pPr>
        <w:pStyle w:val="Compact"/>
        <w:numPr>
          <w:ilvl w:val="0"/>
          <w:numId w:val="1013"/>
        </w:numPr>
      </w:pPr>
      <w:r>
        <w:t xml:space="preserve">Digital Collectibles</w:t>
      </w:r>
    </w:p>
    <w:p>
      <w:pPr>
        <w:pStyle w:val="Compact"/>
        <w:numPr>
          <w:ilvl w:val="0"/>
          <w:numId w:val="1013"/>
        </w:numPr>
      </w:pPr>
      <w:r>
        <w:t xml:space="preserve">Theme Park Experiences</w:t>
      </w:r>
    </w:p>
    <w:p>
      <w:r>
        <w:pict>
          <v:rect style="width:0;height:1.5pt" o:hralign="center" o:hrstd="t" o:hr="t"/>
        </w:pict>
      </w:r>
    </w:p>
    <w:bookmarkEnd w:id="41"/>
    <w:bookmarkStart w:id="42" w:name="volume-03-world-bible"/>
    <w:p>
      <w:pPr>
        <w:pStyle w:val="Heading1"/>
      </w:pPr>
      <w:r>
        <w:t xml:space="preserve">Volume 03 — World Bible</w:t>
      </w:r>
    </w:p>
    <w:p>
      <w:pPr>
        <w:pStyle w:val="FirstParagraph"/>
      </w:pPr>
      <w:r>
        <w:t xml:space="preserve">Documents the Collectiverse universe beyond Keeper HQ.</w:t>
      </w:r>
    </w:p>
    <w:p>
      <w:pPr>
        <w:pStyle w:val="BodyText"/>
      </w:pPr>
      <w:r>
        <w:t xml:space="preserve">Planned topics include:</w:t>
      </w:r>
    </w:p>
    <w:p>
      <w:pPr>
        <w:pStyle w:val="Compact"/>
        <w:numPr>
          <w:ilvl w:val="0"/>
          <w:numId w:val="1014"/>
        </w:numPr>
      </w:pPr>
      <w:r>
        <w:t xml:space="preserve">Global Timeline</w:t>
      </w:r>
    </w:p>
    <w:p>
      <w:pPr>
        <w:pStyle w:val="Compact"/>
        <w:numPr>
          <w:ilvl w:val="0"/>
          <w:numId w:val="1014"/>
        </w:numPr>
      </w:pPr>
      <w:r>
        <w:t xml:space="preserve">Historical Events</w:t>
      </w:r>
    </w:p>
    <w:p>
      <w:pPr>
        <w:pStyle w:val="Compact"/>
        <w:numPr>
          <w:ilvl w:val="0"/>
          <w:numId w:val="1014"/>
        </w:numPr>
      </w:pPr>
      <w:r>
        <w:t xml:space="preserve">Organizations</w:t>
      </w:r>
    </w:p>
    <w:p>
      <w:pPr>
        <w:pStyle w:val="Compact"/>
        <w:numPr>
          <w:ilvl w:val="0"/>
          <w:numId w:val="1014"/>
        </w:numPr>
      </w:pPr>
      <w:r>
        <w:t xml:space="preserve">International Locations</w:t>
      </w:r>
    </w:p>
    <w:p>
      <w:pPr>
        <w:pStyle w:val="Compact"/>
        <w:numPr>
          <w:ilvl w:val="0"/>
          <w:numId w:val="1014"/>
        </w:numPr>
      </w:pPr>
      <w:r>
        <w:t xml:space="preserve">Museums</w:t>
      </w:r>
    </w:p>
    <w:p>
      <w:pPr>
        <w:pStyle w:val="Compact"/>
        <w:numPr>
          <w:ilvl w:val="0"/>
          <w:numId w:val="1014"/>
        </w:numPr>
      </w:pPr>
      <w:r>
        <w:t xml:space="preserve">Collector Communities</w:t>
      </w:r>
    </w:p>
    <w:p>
      <w:pPr>
        <w:pStyle w:val="Compact"/>
        <w:numPr>
          <w:ilvl w:val="0"/>
          <w:numId w:val="1014"/>
        </w:numPr>
      </w:pPr>
      <w:r>
        <w:t xml:space="preserve">The Syndicate Network</w:t>
      </w:r>
    </w:p>
    <w:p>
      <w:pPr>
        <w:pStyle w:val="Compact"/>
        <w:numPr>
          <w:ilvl w:val="0"/>
          <w:numId w:val="1014"/>
        </w:numPr>
      </w:pPr>
      <w:r>
        <w:t xml:space="preserve">Technology</w:t>
      </w:r>
    </w:p>
    <w:p>
      <w:pPr>
        <w:pStyle w:val="Compact"/>
        <w:numPr>
          <w:ilvl w:val="0"/>
          <w:numId w:val="1014"/>
        </w:numPr>
      </w:pPr>
      <w:r>
        <w:t xml:space="preserve">Transportation</w:t>
      </w:r>
    </w:p>
    <w:p>
      <w:pPr>
        <w:pStyle w:val="Compact"/>
        <w:numPr>
          <w:ilvl w:val="0"/>
          <w:numId w:val="1014"/>
        </w:numPr>
      </w:pPr>
      <w:r>
        <w:t xml:space="preserve">Economy</w:t>
      </w:r>
    </w:p>
    <w:p>
      <w:pPr>
        <w:pStyle w:val="Compact"/>
        <w:numPr>
          <w:ilvl w:val="0"/>
          <w:numId w:val="1014"/>
        </w:numPr>
      </w:pPr>
      <w:r>
        <w:t xml:space="preserve">Culture</w:t>
      </w:r>
    </w:p>
    <w:p>
      <w:pPr>
        <w:pStyle w:val="Compact"/>
        <w:numPr>
          <w:ilvl w:val="0"/>
          <w:numId w:val="1014"/>
        </w:numPr>
      </w:pPr>
      <w:r>
        <w:t xml:space="preserve">Traditions</w:t>
      </w:r>
    </w:p>
    <w:p>
      <w:pPr>
        <w:pStyle w:val="Compact"/>
        <w:numPr>
          <w:ilvl w:val="0"/>
          <w:numId w:val="1014"/>
        </w:numPr>
      </w:pPr>
      <w:r>
        <w:t xml:space="preserve">Education</w:t>
      </w:r>
    </w:p>
    <w:p>
      <w:pPr>
        <w:pStyle w:val="Compact"/>
        <w:numPr>
          <w:ilvl w:val="0"/>
          <w:numId w:val="1014"/>
        </w:numPr>
      </w:pPr>
      <w:r>
        <w:t xml:space="preserve">Research</w:t>
      </w:r>
    </w:p>
    <w:p>
      <w:pPr>
        <w:pStyle w:val="Compact"/>
        <w:numPr>
          <w:ilvl w:val="0"/>
          <w:numId w:val="1014"/>
        </w:numPr>
      </w:pPr>
      <w:r>
        <w:t xml:space="preserve">Future Development</w:t>
      </w:r>
    </w:p>
    <w:p>
      <w:r>
        <w:pict>
          <v:rect style="width:0;height:1.5pt" o:hralign="center" o:hrstd="t" o:hr="t"/>
        </w:pict>
      </w:r>
    </w:p>
    <w:bookmarkEnd w:id="42"/>
    <w:bookmarkStart w:id="43" w:name="long-term-documentation-roadmap"/>
    <w:p>
      <w:pPr>
        <w:pStyle w:val="Heading1"/>
      </w:pPr>
      <w:r>
        <w:t xml:space="preserve">Long-Term Documentation Roadmap</w:t>
      </w:r>
    </w:p>
    <w:p>
      <w:pPr>
        <w:pStyle w:val="FirstParagraph"/>
      </w:pPr>
      <w:r>
        <w:t xml:space="preserve">The complete Collectiverse Studio Library is planned as follows:</w:t>
      </w:r>
    </w:p>
    <w:p>
      <w:pPr>
        <w:pStyle w:val="Compact"/>
        <w:numPr>
          <w:ilvl w:val="0"/>
          <w:numId w:val="1015"/>
        </w:numPr>
      </w:pPr>
      <w:r>
        <w:t xml:space="preserve">Volume 01 — Franchise Bible</w:t>
      </w:r>
      <w:r>
        <w:t xml:space="preserve"> </w:t>
      </w:r>
      <w:r>
        <w:rPr>
          <w:i/>
          <w:iCs/>
        </w:rPr>
        <w:t xml:space="preserve">(Completed)</w:t>
      </w:r>
    </w:p>
    <w:p>
      <w:pPr>
        <w:pStyle w:val="Compact"/>
        <w:numPr>
          <w:ilvl w:val="0"/>
          <w:numId w:val="1015"/>
        </w:numPr>
      </w:pPr>
      <w:r>
        <w:t xml:space="preserve">Volume 02 — Character Bible</w:t>
      </w:r>
    </w:p>
    <w:p>
      <w:pPr>
        <w:pStyle w:val="Compact"/>
        <w:numPr>
          <w:ilvl w:val="0"/>
          <w:numId w:val="1015"/>
        </w:numPr>
      </w:pPr>
      <w:r>
        <w:t xml:space="preserve">Volume 03 — World Bible</w:t>
      </w:r>
    </w:p>
    <w:p>
      <w:pPr>
        <w:pStyle w:val="Compact"/>
        <w:numPr>
          <w:ilvl w:val="0"/>
          <w:numId w:val="1015"/>
        </w:numPr>
      </w:pPr>
      <w:r>
        <w:t xml:space="preserve">Volume 04 — Story Bible</w:t>
      </w:r>
    </w:p>
    <w:p>
      <w:pPr>
        <w:pStyle w:val="Compact"/>
        <w:numPr>
          <w:ilvl w:val="0"/>
          <w:numId w:val="1015"/>
        </w:numPr>
      </w:pPr>
      <w:r>
        <w:t xml:space="preserve">Volume 05 — Visual Style Guide</w:t>
      </w:r>
    </w:p>
    <w:p>
      <w:pPr>
        <w:pStyle w:val="Compact"/>
        <w:numPr>
          <w:ilvl w:val="0"/>
          <w:numId w:val="1015"/>
        </w:numPr>
      </w:pPr>
      <w:r>
        <w:t xml:space="preserve">Volume 06 — Animation Production Bible</w:t>
      </w:r>
    </w:p>
    <w:p>
      <w:pPr>
        <w:pStyle w:val="Compact"/>
        <w:numPr>
          <w:ilvl w:val="0"/>
          <w:numId w:val="1015"/>
        </w:numPr>
      </w:pPr>
      <w:r>
        <w:t xml:space="preserve">Volume 07 — Licensing &amp; Merchandise Standards</w:t>
      </w:r>
    </w:p>
    <w:p>
      <w:pPr>
        <w:pStyle w:val="Compact"/>
        <w:numPr>
          <w:ilvl w:val="0"/>
          <w:numId w:val="1015"/>
        </w:numPr>
      </w:pPr>
      <w:r>
        <w:t xml:space="preserve">Volume 08 — Game Design Bible</w:t>
      </w:r>
    </w:p>
    <w:p>
      <w:pPr>
        <w:pStyle w:val="Compact"/>
        <w:numPr>
          <w:ilvl w:val="0"/>
          <w:numId w:val="1015"/>
        </w:numPr>
      </w:pPr>
      <w:r>
        <w:t xml:space="preserve">Volume 09 — Marketing &amp; Brand Standards</w:t>
      </w:r>
    </w:p>
    <w:p>
      <w:pPr>
        <w:pStyle w:val="Compact"/>
        <w:numPr>
          <w:ilvl w:val="0"/>
          <w:numId w:val="1015"/>
        </w:numPr>
      </w:pPr>
      <w:r>
        <w:t xml:space="preserve">Volume 10 — Studio Operations &amp; Franchise Governance</w:t>
      </w:r>
    </w:p>
    <w:p>
      <w:r>
        <w:pict>
          <v:rect style="width:0;height:1.5pt" o:hralign="center" o:hrstd="t" o:hr="t"/>
        </w:pict>
      </w:r>
    </w:p>
    <w:bookmarkEnd w:id="43"/>
    <w:bookmarkStart w:id="44" w:name="recommended-next-step"/>
    <w:p>
      <w:pPr>
        <w:pStyle w:val="Heading1"/>
      </w:pPr>
      <w:r>
        <w:t xml:space="preserve">Recommended Next Step</w:t>
      </w:r>
    </w:p>
    <w:p>
      <w:pPr>
        <w:pStyle w:val="FirstParagraph"/>
      </w:pPr>
      <w:r>
        <w:t xml:space="preserve">Before drafting the full Character Bible, create a</w:t>
      </w:r>
      <w:r>
        <w:t xml:space="preserve"> </w:t>
      </w:r>
      <w:r>
        <w:rPr>
          <w:b/>
          <w:bCs/>
        </w:rPr>
        <w:t xml:space="preserve">Character Master Specification</w:t>
      </w:r>
      <w:r>
        <w:t xml:space="preserve"> </w:t>
      </w:r>
      <w:r>
        <w:t xml:space="preserve">for every principal character. Each specification will consolidate every approved visual detail, personality trait, proportion, color, accessory, and production rule into a single authoritative reference.</w:t>
      </w:r>
    </w:p>
    <w:p>
      <w:pPr>
        <w:pStyle w:val="BodyText"/>
      </w:pPr>
      <w:r>
        <w:t xml:space="preserve">Once every Character Master Specification is approved and locked, those documents become the foundation from which the complete Volume 02 Character Bible will be written.</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2026-07-27T15:29:36Z</dcterms:created>
  <dcterms:modified xsi:type="dcterms:W3CDTF">2026-07-27T15:29:36Z</dcterms:modified>
</cp:coreProperties>
</file>

<file path=docProps/custom.xml><?xml version="1.0" encoding="utf-8"?>
<Properties xmlns="http://schemas.openxmlformats.org/officeDocument/2006/custom-properties" xmlns:vt="http://schemas.openxmlformats.org/officeDocument/2006/docPropsVTypes"/>
</file>