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26: International Operations</w:t>
      </w:r>
    </w:p>
    <w:p>
      <w:pPr>
        <w:pStyle w:val="Heading1"/>
      </w:pPr>
      <w:r>
        <w:t>Purpose</w:t>
      </w:r>
    </w:p>
    <w:p>
      <w:r>
        <w:t>The Keepers operate globally in support of collectors, museums, archives, and cultural institutions while respecting local laws, customs, and ownership rights.</w:t>
      </w:r>
    </w:p>
    <w:p>
      <w:pPr>
        <w:pStyle w:val="Heading1"/>
      </w:pPr>
      <w:r>
        <w:t>Operating Principles</w:t>
      </w:r>
    </w:p>
    <w:p>
      <w:pPr>
        <w:pStyle w:val="ListBullet"/>
      </w:pPr>
      <w:r>
        <w:t>Respect national sovereignty and cultural heritage laws.</w:t>
      </w:r>
    </w:p>
    <w:p>
      <w:pPr>
        <w:pStyle w:val="ListBullet"/>
      </w:pPr>
      <w:r>
        <w:t>Work through cooperation before intervention.</w:t>
      </w:r>
    </w:p>
    <w:p>
      <w:pPr>
        <w:pStyle w:val="ListBullet"/>
      </w:pPr>
      <w:r>
        <w:t>Protect cultural identity alongside physical artifacts.</w:t>
      </w:r>
    </w:p>
    <w:p>
      <w:pPr>
        <w:pStyle w:val="ListBullet"/>
      </w:pPr>
      <w:r>
        <w:t>Share knowledge across borders whenever appropriate.</w:t>
      </w:r>
    </w:p>
    <w:p>
      <w:pPr>
        <w:pStyle w:val="ListBullet"/>
      </w:pPr>
      <w:r>
        <w:t>Maintain political neutrality.</w:t>
      </w:r>
    </w:p>
    <w:p>
      <w:pPr>
        <w:pStyle w:val="Heading1"/>
      </w:pPr>
      <w:r>
        <w:t>Regional Coordination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Primary Focus</w:t>
            </w:r>
          </w:p>
        </w:tc>
        <w:tc>
          <w:tcPr>
            <w:tcW w:type="dxa" w:w="2160"/>
          </w:tcPr>
          <w:p>
            <w:r>
              <w:t>Typical Partners</w:t>
            </w:r>
          </w:p>
        </w:tc>
        <w:tc>
          <w:tcPr>
            <w:tcW w:type="dxa" w:w="2160"/>
          </w:tcPr>
          <w:p>
            <w:r>
              <w:t>Lead Keeper</w:t>
            </w:r>
          </w:p>
        </w:tc>
      </w:tr>
      <w:tr>
        <w:tc>
          <w:tcPr>
            <w:tcW w:type="dxa" w:w="2160"/>
          </w:tcPr>
          <w:p>
            <w:r>
              <w:t>North America</w:t>
            </w:r>
          </w:p>
        </w:tc>
        <w:tc>
          <w:tcPr>
            <w:tcW w:type="dxa" w:w="2160"/>
          </w:tcPr>
          <w:p>
            <w:r>
              <w:t>Collections &amp; outreach</w:t>
            </w:r>
          </w:p>
        </w:tc>
        <w:tc>
          <w:tcPr>
            <w:tcW w:type="dxa" w:w="2160"/>
          </w:tcPr>
          <w:p>
            <w:r>
              <w:t>Museums, grading services</w:t>
            </w:r>
          </w:p>
        </w:tc>
        <w:tc>
          <w:tcPr>
            <w:tcW w:type="dxa" w:w="2160"/>
          </w:tcPr>
          <w:p>
            <w:r>
              <w:t>Atlas</w:t>
            </w:r>
          </w:p>
        </w:tc>
      </w:tr>
      <w:tr>
        <w:tc>
          <w:tcPr>
            <w:tcW w:type="dxa" w:w="2160"/>
          </w:tcPr>
          <w:p>
            <w:r>
              <w:t>Europe</w:t>
            </w:r>
          </w:p>
        </w:tc>
        <w:tc>
          <w:tcPr>
            <w:tcW w:type="dxa" w:w="2160"/>
          </w:tcPr>
          <w:p>
            <w:r>
              <w:t>Historic preservation</w:t>
            </w:r>
          </w:p>
        </w:tc>
        <w:tc>
          <w:tcPr>
            <w:tcW w:type="dxa" w:w="2160"/>
          </w:tcPr>
          <w:p>
            <w:r>
              <w:t>Museums, archives</w:t>
            </w:r>
          </w:p>
        </w:tc>
        <w:tc>
          <w:tcPr>
            <w:tcW w:type="dxa" w:w="2160"/>
          </w:tcPr>
          <w:p>
            <w:r>
              <w:t>Ink</w:t>
            </w:r>
          </w:p>
        </w:tc>
      </w:tr>
      <w:tr>
        <w:tc>
          <w:tcPr>
            <w:tcW w:type="dxa" w:w="2160"/>
          </w:tcPr>
          <w:p>
            <w:r>
              <w:t>Asia-Pacific</w:t>
            </w:r>
          </w:p>
        </w:tc>
        <w:tc>
          <w:tcPr>
            <w:tcW w:type="dxa" w:w="2160"/>
          </w:tcPr>
          <w:p>
            <w:r>
              <w:t>Technology &amp; innovation</w:t>
            </w:r>
          </w:p>
        </w:tc>
        <w:tc>
          <w:tcPr>
            <w:tcW w:type="dxa" w:w="2160"/>
          </w:tcPr>
          <w:p>
            <w:r>
              <w:t>Collectors, universities</w:t>
            </w:r>
          </w:p>
        </w:tc>
        <w:tc>
          <w:tcPr>
            <w:tcW w:type="dxa" w:w="2160"/>
          </w:tcPr>
          <w:p>
            <w:r>
              <w:t>Pixel</w:t>
            </w:r>
          </w:p>
        </w:tc>
      </w:tr>
      <w:tr>
        <w:tc>
          <w:tcPr>
            <w:tcW w:type="dxa" w:w="2160"/>
          </w:tcPr>
          <w:p>
            <w:r>
              <w:t>Africa</w:t>
            </w:r>
          </w:p>
        </w:tc>
        <w:tc>
          <w:tcPr>
            <w:tcW w:type="dxa" w:w="2160"/>
          </w:tcPr>
          <w:p>
            <w:r>
              <w:t>Cultural heritage</w:t>
            </w:r>
          </w:p>
        </w:tc>
        <w:tc>
          <w:tcPr>
            <w:tcW w:type="dxa" w:w="2160"/>
          </w:tcPr>
          <w:p>
            <w:r>
              <w:t>Museums, heritage agencies</w:t>
            </w:r>
          </w:p>
        </w:tc>
        <w:tc>
          <w:tcPr>
            <w:tcW w:type="dxa" w:w="2160"/>
          </w:tcPr>
          <w:p>
            <w:r>
              <w:t>Echo</w:t>
            </w:r>
          </w:p>
        </w:tc>
      </w:tr>
      <w:tr>
        <w:tc>
          <w:tcPr>
            <w:tcW w:type="dxa" w:w="2160"/>
          </w:tcPr>
          <w:p>
            <w:r>
              <w:t>Latin America</w:t>
            </w:r>
          </w:p>
        </w:tc>
        <w:tc>
          <w:tcPr>
            <w:tcW w:type="dxa" w:w="2160"/>
          </w:tcPr>
          <w:p>
            <w:r>
              <w:t>Community education</w:t>
            </w:r>
          </w:p>
        </w:tc>
        <w:tc>
          <w:tcPr>
            <w:tcW w:type="dxa" w:w="2160"/>
          </w:tcPr>
          <w:p>
            <w:r>
              <w:t>Historical societies</w:t>
            </w:r>
          </w:p>
        </w:tc>
        <w:tc>
          <w:tcPr>
            <w:tcW w:type="dxa" w:w="2160"/>
          </w:tcPr>
          <w:p>
            <w:r>
              <w:t>Forge</w:t>
            </w:r>
          </w:p>
        </w:tc>
      </w:tr>
    </w:tbl>
    <w:p>
      <w:pPr>
        <w:pStyle w:val="Heading1"/>
      </w:pPr>
      <w:r>
        <w:t>Cross-Border Missions</w:t>
      </w:r>
    </w:p>
    <w:p>
      <w:pPr>
        <w:pStyle w:val="ListNumber"/>
      </w:pPr>
      <w:r>
        <w:t>Verify legal authority before transporting artifacts.</w:t>
      </w:r>
    </w:p>
    <w:p>
      <w:pPr>
        <w:pStyle w:val="ListNumber"/>
      </w:pPr>
      <w:r>
        <w:t>Coordinate with local experts.</w:t>
      </w:r>
    </w:p>
    <w:p>
      <w:pPr>
        <w:pStyle w:val="ListNumber"/>
      </w:pPr>
      <w:r>
        <w:t>Document chain of custody across jurisdictions.</w:t>
      </w:r>
    </w:p>
    <w:p>
      <w:pPr>
        <w:pStyle w:val="ListNumber"/>
      </w:pPr>
      <w:r>
        <w:t>Respect export and import regulations.</w:t>
      </w:r>
    </w:p>
    <w:p>
      <w:pPr>
        <w:pStyle w:val="ListNumber"/>
      </w:pPr>
      <w:r>
        <w:t>Return recovered artifacts to their rightful custodians whenever possible.</w:t>
      </w:r>
    </w:p>
    <w:p>
      <w:pPr>
        <w:pStyle w:val="Heading1"/>
      </w:pPr>
      <w:r>
        <w:t>Language &amp; Communication</w:t>
      </w:r>
    </w:p>
    <w:p>
      <w:r>
        <w:t>The Keepers strive to communicate in culturally appropriate ways. Translation, accessibility, and respect for local traditions are considered essential parts of every international mission.</w:t>
      </w:r>
    </w:p>
    <w:p>
      <w:pPr>
        <w:pStyle w:val="Heading1"/>
      </w:pPr>
      <w:r>
        <w:t>Canon Rules</w:t>
      </w:r>
    </w:p>
    <w:p>
      <w:r>
        <w:t>Collectiverse presents a worldwide collecting community. Stories should reflect diverse cultures authentically and avoid portraying any nation or community as inherently superior or inferior.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international operations doctrine.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