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27: Convention &amp; Public Event Operations</w:t>
      </w:r>
    </w:p>
    <w:p>
      <w:pPr>
        <w:pStyle w:val="Heading1"/>
      </w:pPr>
      <w:r>
        <w:t>Purpose</w:t>
      </w:r>
    </w:p>
    <w:p>
      <w:r>
        <w:t>This chapter establishes standards for Keeper participation at conventions, trade shows, museum exhibitions, signings, garage sales, estate sales, flea markets, auctions, and other public collecting events.</w:t>
      </w:r>
    </w:p>
    <w:p>
      <w:pPr>
        <w:pStyle w:val="Heading1"/>
      </w:pPr>
      <w:r>
        <w:t>Objectives</w:t>
      </w:r>
    </w:p>
    <w:p>
      <w:pPr>
        <w:pStyle w:val="ListBullet"/>
      </w:pPr>
      <w:r>
        <w:t>Educate collectors.</w:t>
      </w:r>
    </w:p>
    <w:p>
      <w:pPr>
        <w:pStyle w:val="ListBullet"/>
      </w:pPr>
      <w:r>
        <w:t>Promote ethical collecting.</w:t>
      </w:r>
    </w:p>
    <w:p>
      <w:pPr>
        <w:pStyle w:val="ListBullet"/>
      </w:pPr>
      <w:r>
        <w:t>Authenticate when appropriate.</w:t>
      </w:r>
    </w:p>
    <w:p>
      <w:pPr>
        <w:pStyle w:val="ListBullet"/>
      </w:pPr>
      <w:r>
        <w:t>Build community relationships.</w:t>
      </w:r>
    </w:p>
    <w:p>
      <w:pPr>
        <w:pStyle w:val="ListBullet"/>
      </w:pPr>
      <w:r>
        <w:t>Protect historically significant collectibles.</w:t>
      </w:r>
    </w:p>
    <w:p>
      <w:pPr>
        <w:pStyle w:val="Heading1"/>
      </w:pPr>
      <w:r>
        <w:t>Event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 Type</w:t>
            </w:r>
          </w:p>
        </w:tc>
        <w:tc>
          <w:tcPr>
            <w:tcW w:type="dxa" w:w="2160"/>
          </w:tcPr>
          <w:p>
            <w:r>
              <w:t>Primary Purpose</w:t>
            </w:r>
          </w:p>
        </w:tc>
        <w:tc>
          <w:tcPr>
            <w:tcW w:type="dxa" w:w="2160"/>
          </w:tcPr>
          <w:p>
            <w:r>
              <w:t>Typical Lead</w:t>
            </w:r>
          </w:p>
        </w:tc>
        <w:tc>
          <w:tcPr>
            <w:tcW w:type="dxa" w:w="2160"/>
          </w:tcPr>
          <w:p>
            <w:r>
              <w:t>Key Activities</w:t>
            </w:r>
          </w:p>
        </w:tc>
      </w:tr>
      <w:tr>
        <w:tc>
          <w:tcPr>
            <w:tcW w:type="dxa" w:w="2160"/>
          </w:tcPr>
          <w:p>
            <w:r>
              <w:t>Comic &amp; Hobby Conventions</w:t>
            </w:r>
          </w:p>
        </w:tc>
        <w:tc>
          <w:tcPr>
            <w:tcW w:type="dxa" w:w="2160"/>
          </w:tcPr>
          <w:p>
            <w:r>
              <w:t>Community outreach</w:t>
            </w:r>
          </w:p>
        </w:tc>
        <w:tc>
          <w:tcPr>
            <w:tcW w:type="dxa" w:w="2160"/>
          </w:tcPr>
          <w:p>
            <w:r>
              <w:t>Atlas</w:t>
            </w:r>
          </w:p>
        </w:tc>
        <w:tc>
          <w:tcPr>
            <w:tcW w:type="dxa" w:w="2160"/>
          </w:tcPr>
          <w:p>
            <w:r>
              <w:t>Panels, meetups, education</w:t>
            </w:r>
          </w:p>
        </w:tc>
      </w:tr>
      <w:tr>
        <w:tc>
          <w:tcPr>
            <w:tcW w:type="dxa" w:w="2160"/>
          </w:tcPr>
          <w:p>
            <w:r>
              <w:t>Card &amp; Memorabilia Shows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Sterling</w:t>
            </w:r>
          </w:p>
        </w:tc>
        <w:tc>
          <w:tcPr>
            <w:tcW w:type="dxa" w:w="2160"/>
          </w:tcPr>
          <w:p>
            <w:r>
              <w:t>Evaluations, collecting advice</w:t>
            </w:r>
          </w:p>
        </w:tc>
      </w:tr>
      <w:tr>
        <w:tc>
          <w:tcPr>
            <w:tcW w:type="dxa" w:w="2160"/>
          </w:tcPr>
          <w:p>
            <w:r>
              <w:t>Museum Exhibits</w:t>
            </w:r>
          </w:p>
        </w:tc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Ink &amp; Echo</w:t>
            </w:r>
          </w:p>
        </w:tc>
        <w:tc>
          <w:tcPr>
            <w:tcW w:type="dxa" w:w="2160"/>
          </w:tcPr>
          <w:p>
            <w:r>
              <w:t>Tours, lectures, storytelling</w:t>
            </w:r>
          </w:p>
        </w:tc>
      </w:tr>
      <w:tr>
        <w:tc>
          <w:tcPr>
            <w:tcW w:type="dxa" w:w="2160"/>
          </w:tcPr>
          <w:p>
            <w:r>
              <w:t>Garage/Estate Sales</w:t>
            </w:r>
          </w:p>
        </w:tc>
        <w:tc>
          <w:tcPr>
            <w:tcW w:type="dxa" w:w="2160"/>
          </w:tcPr>
          <w:p>
            <w:r>
              <w:t>Discovery</w:t>
            </w:r>
          </w:p>
        </w:tc>
        <w:tc>
          <w:tcPr>
            <w:tcW w:type="dxa" w:w="2160"/>
          </w:tcPr>
          <w:p>
            <w:r>
              <w:t>Pixel</w:t>
            </w:r>
          </w:p>
        </w:tc>
        <w:tc>
          <w:tcPr>
            <w:tcW w:type="dxa" w:w="2160"/>
          </w:tcPr>
          <w:p>
            <w:r>
              <w:t>Field investigations</w:t>
            </w:r>
          </w:p>
        </w:tc>
      </w:tr>
      <w:tr>
        <w:tc>
          <w:tcPr>
            <w:tcW w:type="dxa" w:w="2160"/>
          </w:tcPr>
          <w:p>
            <w:r>
              <w:t>Auctions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  <w:tc>
          <w:tcPr>
            <w:tcW w:type="dxa" w:w="2160"/>
          </w:tcPr>
          <w:p>
            <w:r>
              <w:t>Atlas</w:t>
            </w:r>
          </w:p>
        </w:tc>
        <w:tc>
          <w:tcPr>
            <w:tcW w:type="dxa" w:w="2160"/>
          </w:tcPr>
          <w:p>
            <w:r>
              <w:t>Provenance review and fraud awareness</w:t>
            </w:r>
          </w:p>
        </w:tc>
      </w:tr>
      <w:tr>
        <w:tc>
          <w:tcPr>
            <w:tcW w:type="dxa" w:w="2160"/>
          </w:tcPr>
          <w:p>
            <w:r>
              <w:t>Community Festivals</w:t>
            </w:r>
          </w:p>
        </w:tc>
        <w:tc>
          <w:tcPr>
            <w:tcW w:type="dxa" w:w="2160"/>
          </w:tcPr>
          <w:p>
            <w:r>
              <w:t>Outreach</w:t>
            </w:r>
          </w:p>
        </w:tc>
        <w:tc>
          <w:tcPr>
            <w:tcW w:type="dxa" w:w="2160"/>
          </w:tcPr>
          <w:p>
            <w:r>
              <w:t>Entire Team</w:t>
            </w:r>
          </w:p>
        </w:tc>
        <w:tc>
          <w:tcPr>
            <w:tcW w:type="dxa" w:w="2160"/>
          </w:tcPr>
          <w:p>
            <w:r>
              <w:t>Interactive demonstrations</w:t>
            </w:r>
          </w:p>
        </w:tc>
      </w:tr>
    </w:tbl>
    <w:p>
      <w:pPr>
        <w:pStyle w:val="Heading1"/>
      </w:pPr>
      <w:r>
        <w:t>Public Conduct Standards</w:t>
      </w:r>
    </w:p>
    <w:p>
      <w:pPr>
        <w:pStyle w:val="ListBullet"/>
      </w:pPr>
      <w:r>
        <w:t>Remain approachable and welcoming.</w:t>
      </w:r>
    </w:p>
    <w:p>
      <w:pPr>
        <w:pStyle w:val="ListBullet"/>
      </w:pPr>
      <w:r>
        <w:t>Never pressure collectors into decisions.</w:t>
      </w:r>
    </w:p>
    <w:p>
      <w:pPr>
        <w:pStyle w:val="ListBullet"/>
      </w:pPr>
      <w:r>
        <w:t>Respect event organizers and vendors.</w:t>
      </w:r>
    </w:p>
    <w:p>
      <w:pPr>
        <w:pStyle w:val="ListBullet"/>
      </w:pPr>
      <w:r>
        <w:t>Protect attendee privacy.</w:t>
      </w:r>
    </w:p>
    <w:p>
      <w:pPr>
        <w:pStyle w:val="ListBullet"/>
      </w:pPr>
      <w:r>
        <w:t>Resolve disagreements professionally.</w:t>
      </w:r>
    </w:p>
    <w:p>
      <w:pPr>
        <w:pStyle w:val="Heading1"/>
      </w:pPr>
      <w:r>
        <w:t>Educational Programming</w:t>
      </w:r>
    </w:p>
    <w:p>
      <w:r>
        <w:t>Whenever possible, Keeper appearances include workshops, demonstrations, preservation tips, and interactive activities that inspire new collectors and reinforce responsible stewardship.</w:t>
      </w:r>
    </w:p>
    <w:p>
      <w:pPr>
        <w:pStyle w:val="Heading1"/>
      </w:pPr>
      <w:r>
        <w:t>Emergency Planning</w:t>
      </w:r>
    </w:p>
    <w:p>
      <w:r>
        <w:t>Each public event includes a communication plan, artifact protection procedures, lost-child protocols, medical response coordination, and evacuation guidance coordinated with venue staff.</w:t>
      </w:r>
    </w:p>
    <w:p>
      <w:pPr>
        <w:pStyle w:val="Heading1"/>
      </w:pPr>
      <w:r>
        <w:t>Canon Rules</w:t>
      </w:r>
    </w:p>
    <w:p>
      <w:r>
        <w:t>Public events are recurring settings within Collectiverse. They should feel welcoming, energetic, educational, and representative of the diversity of the global collecting community.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public event operations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