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Franchise Standards</w:t>
      </w:r>
    </w:p>
    <w:p>
      <w:pPr>
        <w:jc w:val="center"/>
      </w:pPr>
      <w:r>
        <w:rPr>
          <w:b/>
        </w:rPr>
        <w:t>Volume 01 – Franchise Bible</w:t>
        <w:br/>
      </w:r>
      <w:r>
        <w:t>Part 40: Security Systems, Vaults &amp; Artifact Protection</w:t>
      </w:r>
    </w:p>
    <w:p>
      <w:pPr>
        <w:pStyle w:val="Heading1"/>
      </w:pPr>
      <w:r>
        <w:t>Purpose</w:t>
      </w:r>
    </w:p>
    <w:p>
      <w:r>
        <w:t>Keeper HQ safeguards some of the world's most valuable collectibles and historical artifacts. Its security architecture balances strong protection with accessibility for research, education, and conservation while ensuring every object remains authentic, traceable, and preserved.</w:t>
      </w:r>
    </w:p>
    <w:p>
      <w:pPr>
        <w:pStyle w:val="Heading1"/>
      </w:pPr>
      <w:r>
        <w:t>Security Philosophy</w:t>
      </w:r>
    </w:p>
    <w:p>
      <w:pPr>
        <w:pStyle w:val="ListBullet"/>
      </w:pPr>
      <w:r>
        <w:t>Protect people before property.</w:t>
      </w:r>
    </w:p>
    <w:p>
      <w:pPr>
        <w:pStyle w:val="ListBullet"/>
      </w:pPr>
      <w:r>
        <w:t>Preserve artifacts without unnecessary restriction.</w:t>
      </w:r>
    </w:p>
    <w:p>
      <w:pPr>
        <w:pStyle w:val="ListBullet"/>
      </w:pPr>
      <w:r>
        <w:t>Layer physical, digital, and procedural security.</w:t>
      </w:r>
    </w:p>
    <w:p>
      <w:pPr>
        <w:pStyle w:val="ListBullet"/>
      </w:pPr>
      <w:r>
        <w:t>Document every movement of significant artifacts.</w:t>
      </w:r>
    </w:p>
    <w:p>
      <w:pPr>
        <w:pStyle w:val="ListBullet"/>
      </w:pPr>
      <w:r>
        <w:t>Security should be visible enough to inspire confidence but never dominate the visitor experience.</w:t>
      </w:r>
    </w:p>
    <w:p>
      <w:pPr>
        <w:pStyle w:val="Heading1"/>
      </w:pPr>
      <w:r>
        <w:t>Security Zones</w:t>
      </w:r>
    </w:p>
    <w:tbl>
      <w:tblPr>
        <w:tblStyle w:val="TableGrid"/>
        <w:tblW w:type="auto" w:w="0"/>
        <w:tblLook w:firstColumn="1" w:firstRow="1" w:lastColumn="0" w:lastRow="0" w:noHBand="0" w:noVBand="1" w:val="04A0"/>
      </w:tblPr>
      <w:tblGrid>
        <w:gridCol w:w="2880"/>
        <w:gridCol w:w="2880"/>
        <w:gridCol w:w="2880"/>
      </w:tblGrid>
      <w:tr>
        <w:tc>
          <w:tcPr>
            <w:tcW w:type="dxa" w:w="2880"/>
          </w:tcPr>
          <w:p>
            <w:r>
              <w:t>Zone</w:t>
            </w:r>
          </w:p>
        </w:tc>
        <w:tc>
          <w:tcPr>
            <w:tcW w:type="dxa" w:w="2880"/>
          </w:tcPr>
          <w:p>
            <w:r>
              <w:t>Access</w:t>
            </w:r>
          </w:p>
        </w:tc>
        <w:tc>
          <w:tcPr>
            <w:tcW w:type="dxa" w:w="2880"/>
          </w:tcPr>
          <w:p>
            <w:r>
              <w:t>Purpose</w:t>
            </w:r>
          </w:p>
        </w:tc>
      </w:tr>
      <w:tr>
        <w:tc>
          <w:tcPr>
            <w:tcW w:type="dxa" w:w="2880"/>
          </w:tcPr>
          <w:p>
            <w:r>
              <w:t>Public</w:t>
            </w:r>
          </w:p>
        </w:tc>
        <w:tc>
          <w:tcPr>
            <w:tcW w:type="dxa" w:w="2880"/>
          </w:tcPr>
          <w:p>
            <w:r>
              <w:t>Visitors</w:t>
            </w:r>
          </w:p>
        </w:tc>
        <w:tc>
          <w:tcPr>
            <w:tcW w:type="dxa" w:w="2880"/>
          </w:tcPr>
          <w:p>
            <w:r>
              <w:t>Museums, Great Hall, classrooms, galleries</w:t>
            </w:r>
          </w:p>
        </w:tc>
      </w:tr>
      <w:tr>
        <w:tc>
          <w:tcPr>
            <w:tcW w:type="dxa" w:w="2880"/>
          </w:tcPr>
          <w:p>
            <w:r>
              <w:t>Controlled</w:t>
            </w:r>
          </w:p>
        </w:tc>
        <w:tc>
          <w:tcPr>
            <w:tcW w:type="dxa" w:w="2880"/>
          </w:tcPr>
          <w:p>
            <w:r>
              <w:t>Authorized staff</w:t>
            </w:r>
          </w:p>
        </w:tc>
        <w:tc>
          <w:tcPr>
            <w:tcW w:type="dxa" w:w="2880"/>
          </w:tcPr>
          <w:p>
            <w:r>
              <w:t>Research, workshops, offices</w:t>
            </w:r>
          </w:p>
        </w:tc>
      </w:tr>
      <w:tr>
        <w:tc>
          <w:tcPr>
            <w:tcW w:type="dxa" w:w="2880"/>
          </w:tcPr>
          <w:p>
            <w:r>
              <w:t>Restricted</w:t>
            </w:r>
          </w:p>
        </w:tc>
        <w:tc>
          <w:tcPr>
            <w:tcW w:type="dxa" w:w="2880"/>
          </w:tcPr>
          <w:p>
            <w:r>
              <w:t>Keeper personnel</w:t>
            </w:r>
          </w:p>
        </w:tc>
        <w:tc>
          <w:tcPr>
            <w:tcW w:type="dxa" w:w="2880"/>
          </w:tcPr>
          <w:p>
            <w:r>
              <w:t>Mission Operations Center, laboratories</w:t>
            </w:r>
          </w:p>
        </w:tc>
      </w:tr>
      <w:tr>
        <w:tc>
          <w:tcPr>
            <w:tcW w:type="dxa" w:w="2880"/>
          </w:tcPr>
          <w:p>
            <w:r>
              <w:t>High Security</w:t>
            </w:r>
          </w:p>
        </w:tc>
        <w:tc>
          <w:tcPr>
            <w:tcW w:type="dxa" w:w="2880"/>
          </w:tcPr>
          <w:p>
            <w:r>
              <w:t>Limited authorization</w:t>
            </w:r>
          </w:p>
        </w:tc>
        <w:tc>
          <w:tcPr>
            <w:tcW w:type="dxa" w:w="2880"/>
          </w:tcPr>
          <w:p>
            <w:r>
              <w:t>Artifact vaults, evidence storage, digital archive core</w:t>
            </w:r>
          </w:p>
        </w:tc>
      </w:tr>
    </w:tbl>
    <w:p>
      <w:pPr>
        <w:pStyle w:val="Heading1"/>
      </w:pPr>
      <w:r>
        <w:t>Artifact Vault Standards</w:t>
      </w:r>
    </w:p>
    <w:p>
      <w:pPr>
        <w:pStyle w:val="ListBullet"/>
      </w:pPr>
      <w:r>
        <w:t>Climate-controlled storage.</w:t>
      </w:r>
    </w:p>
    <w:p>
      <w:pPr>
        <w:pStyle w:val="ListBullet"/>
      </w:pPr>
      <w:r>
        <w:t>Redundant environmental monitoring.</w:t>
      </w:r>
    </w:p>
    <w:p>
      <w:pPr>
        <w:pStyle w:val="ListBullet"/>
      </w:pPr>
      <w:r>
        <w:t>Continuous inventory verification.</w:t>
      </w:r>
    </w:p>
    <w:p>
      <w:pPr>
        <w:pStyle w:val="ListBullet"/>
      </w:pPr>
      <w:r>
        <w:t>Multi-factor access authorization.</w:t>
      </w:r>
    </w:p>
    <w:p>
      <w:pPr>
        <w:pStyle w:val="ListBullet"/>
      </w:pPr>
      <w:r>
        <w:t>Automated chain-of-custody logging.</w:t>
      </w:r>
    </w:p>
    <w:p>
      <w:pPr>
        <w:pStyle w:val="Heading1"/>
      </w:pPr>
      <w:r>
        <w:t>Monitoring Systems</w:t>
      </w:r>
    </w:p>
    <w:p>
      <w:r>
        <w:t>Integrated surveillance, environmental sensors, access logging, inventory tracking, and cybersecurity monitoring operate continuously. Alerts are routed directly to the Mission Operations Center.</w:t>
      </w:r>
    </w:p>
    <w:p>
      <w:pPr>
        <w:pStyle w:val="Heading1"/>
      </w:pPr>
      <w:r>
        <w:t>Incident Response</w:t>
      </w:r>
    </w:p>
    <w:p>
      <w:r>
        <w:t>Security events are categorized by severity, documented immediately, investigated objectively, and followed by corrective actions. Recovery always prioritizes the protection of life, followed by the preservation of artifacts and evidence.</w:t>
      </w:r>
    </w:p>
    <w:p>
      <w:pPr>
        <w:pStyle w:val="Heading1"/>
      </w:pPr>
      <w:r>
        <w:t>Canon Rules</w:t>
      </w:r>
    </w:p>
    <w:p>
      <w:r>
        <w:t>Keeper HQ security emphasizes stewardship rather than militarization. The headquarters should feel welcoming while quietly demonstrating exceptional protection, professionalism, and trust.</w:t>
      </w:r>
    </w:p>
    <w:p>
      <w:pPr>
        <w:pStyle w:val="Heading1"/>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Status</w:t>
            </w:r>
          </w:p>
        </w:tc>
        <w:tc>
          <w:tcPr>
            <w:tcW w:type="dxa" w:w="2160"/>
          </w:tcPr>
          <w:p>
            <w:r>
              <w:t>Notes</w:t>
            </w:r>
          </w:p>
        </w:tc>
      </w:tr>
      <w:tr>
        <w:tc>
          <w:tcPr>
            <w:tcW w:type="dxa" w:w="2160"/>
          </w:tcPr>
          <w:p>
            <w:r>
              <w:t>1.0</w:t>
            </w:r>
          </w:p>
        </w:tc>
        <w:tc>
          <w:tcPr>
            <w:tcW w:type="dxa" w:w="2160"/>
          </w:tcPr>
          <w:p>
            <w:r>
              <w:t>2026-07-25</w:t>
            </w:r>
          </w:p>
        </w:tc>
        <w:tc>
          <w:tcPr>
            <w:tcW w:type="dxa" w:w="2160"/>
          </w:tcPr>
          <w:p>
            <w:r>
              <w:t>Draft Canon</w:t>
            </w:r>
          </w:p>
        </w:tc>
        <w:tc>
          <w:tcPr>
            <w:tcW w:type="dxa" w:w="2160"/>
          </w:tcPr>
          <w:p>
            <w:r>
              <w:t>Initial security architecture standards.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