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Franchise Standards</w:t>
      </w:r>
    </w:p>
    <w:p>
      <w:pPr>
        <w:jc w:val="center"/>
      </w:pPr>
      <w:r>
        <w:rPr>
          <w:b/>
        </w:rPr>
        <w:t>Volume 01 – Franchise Bible</w:t>
        <w:br/>
      </w:r>
      <w:r>
        <w:t>Part 44: Communications Network &amp; Global Collaboration</w:t>
      </w:r>
    </w:p>
    <w:p>
      <w:pPr>
        <w:pStyle w:val="Heading1"/>
      </w:pPr>
      <w:r>
        <w:t>Purpose</w:t>
      </w:r>
    </w:p>
    <w:p>
      <w:r>
        <w:t>The Communications Network connects Keeper HQ with collectors, museums, archives, researchers, grading organizations, emergency responders, and international partners. Its purpose is to enable rapid collaboration while preserving security, trust, and accurate information sharing.</w:t>
      </w:r>
    </w:p>
    <w:p>
      <w:pPr>
        <w:pStyle w:val="Heading1"/>
      </w:pPr>
      <w:r>
        <w:t>Guiding Principles</w:t>
      </w:r>
    </w:p>
    <w:p>
      <w:pPr>
        <w:pStyle w:val="ListBullet"/>
      </w:pPr>
      <w:r>
        <w:t>Communicate clearly and truthfully.</w:t>
      </w:r>
    </w:p>
    <w:p>
      <w:pPr>
        <w:pStyle w:val="ListBullet"/>
      </w:pPr>
      <w:r>
        <w:t>Share knowledge responsibly.</w:t>
      </w:r>
    </w:p>
    <w:p>
      <w:pPr>
        <w:pStyle w:val="ListBullet"/>
      </w:pPr>
      <w:r>
        <w:t>Protect sensitive information.</w:t>
      </w:r>
    </w:p>
    <w:p>
      <w:pPr>
        <w:pStyle w:val="ListBullet"/>
      </w:pPr>
      <w:r>
        <w:t>Promote collaboration across organizations.</w:t>
      </w:r>
    </w:p>
    <w:p>
      <w:pPr>
        <w:pStyle w:val="ListBullet"/>
      </w:pPr>
      <w:r>
        <w:t>Maintain reliable communications during emergencies.</w:t>
      </w:r>
    </w:p>
    <w:p>
      <w:pPr>
        <w:pStyle w:val="Heading1"/>
      </w:pPr>
      <w:r>
        <w:t>Communication Platforms</w:t>
      </w:r>
    </w:p>
    <w:tbl>
      <w:tblPr>
        <w:tblStyle w:val="TableGrid"/>
        <w:tblW w:type="auto" w:w="0"/>
        <w:tblLook w:firstColumn="1" w:firstRow="1" w:lastColumn="0" w:lastRow="0" w:noHBand="0" w:noVBand="1" w:val="04A0"/>
      </w:tblPr>
      <w:tblGrid>
        <w:gridCol w:w="4320"/>
        <w:gridCol w:w="4320"/>
      </w:tblGrid>
      <w:tr>
        <w:tc>
          <w:tcPr>
            <w:tcW w:type="dxa" w:w="4320"/>
          </w:tcPr>
          <w:p>
            <w:r>
              <w:t>Platform</w:t>
            </w:r>
          </w:p>
        </w:tc>
        <w:tc>
          <w:tcPr>
            <w:tcW w:type="dxa" w:w="4320"/>
          </w:tcPr>
          <w:p>
            <w:r>
              <w:t>Primary Purpose</w:t>
            </w:r>
          </w:p>
        </w:tc>
      </w:tr>
      <w:tr>
        <w:tc>
          <w:tcPr>
            <w:tcW w:type="dxa" w:w="4320"/>
          </w:tcPr>
          <w:p>
            <w:r>
              <w:t>AtlasNet Messaging</w:t>
            </w:r>
          </w:p>
        </w:tc>
        <w:tc>
          <w:tcPr>
            <w:tcW w:type="dxa" w:w="4320"/>
          </w:tcPr>
          <w:p>
            <w:r>
              <w:t>Secure Keeper communications</w:t>
            </w:r>
          </w:p>
        </w:tc>
      </w:tr>
      <w:tr>
        <w:tc>
          <w:tcPr>
            <w:tcW w:type="dxa" w:w="4320"/>
          </w:tcPr>
          <w:p>
            <w:r>
              <w:t>Mission Communications Grid</w:t>
            </w:r>
          </w:p>
        </w:tc>
        <w:tc>
          <w:tcPr>
            <w:tcW w:type="dxa" w:w="4320"/>
          </w:tcPr>
          <w:p>
            <w:r>
              <w:t>Voice, video, and field coordination</w:t>
            </w:r>
          </w:p>
        </w:tc>
      </w:tr>
      <w:tr>
        <w:tc>
          <w:tcPr>
            <w:tcW w:type="dxa" w:w="4320"/>
          </w:tcPr>
          <w:p>
            <w:r>
              <w:t>Community Portal</w:t>
            </w:r>
          </w:p>
        </w:tc>
        <w:tc>
          <w:tcPr>
            <w:tcW w:type="dxa" w:w="4320"/>
          </w:tcPr>
          <w:p>
            <w:r>
              <w:t>Collector education and outreach</w:t>
            </w:r>
          </w:p>
        </w:tc>
      </w:tr>
      <w:tr>
        <w:tc>
          <w:tcPr>
            <w:tcW w:type="dxa" w:w="4320"/>
          </w:tcPr>
          <w:p>
            <w:r>
              <w:t>Partner Exchange</w:t>
            </w:r>
          </w:p>
        </w:tc>
        <w:tc>
          <w:tcPr>
            <w:tcW w:type="dxa" w:w="4320"/>
          </w:tcPr>
          <w:p>
            <w:r>
              <w:t>Museums, archives, and institutional collaboration</w:t>
            </w:r>
          </w:p>
        </w:tc>
      </w:tr>
      <w:tr>
        <w:tc>
          <w:tcPr>
            <w:tcW w:type="dxa" w:w="4320"/>
          </w:tcPr>
          <w:p>
            <w:r>
              <w:t>Emergency Broadcast System</w:t>
            </w:r>
          </w:p>
        </w:tc>
        <w:tc>
          <w:tcPr>
            <w:tcW w:type="dxa" w:w="4320"/>
          </w:tcPr>
          <w:p>
            <w:r>
              <w:t>Critical alerts and incident coordination</w:t>
            </w:r>
          </w:p>
        </w:tc>
      </w:tr>
      <w:tr>
        <w:tc>
          <w:tcPr>
            <w:tcW w:type="dxa" w:w="4320"/>
          </w:tcPr>
          <w:p>
            <w:r>
              <w:t>Knowledge Publishing Network</w:t>
            </w:r>
          </w:p>
        </w:tc>
        <w:tc>
          <w:tcPr>
            <w:tcW w:type="dxa" w:w="4320"/>
          </w:tcPr>
          <w:p>
            <w:r>
              <w:t>Articles, research, and educational resources</w:t>
            </w:r>
          </w:p>
        </w:tc>
      </w:tr>
    </w:tbl>
    <w:p>
      <w:pPr>
        <w:pStyle w:val="Heading1"/>
      </w:pPr>
      <w:r>
        <w:t>Collaboration Standards</w:t>
      </w:r>
    </w:p>
    <w:p>
      <w:pPr>
        <w:pStyle w:val="ListBullet"/>
      </w:pPr>
      <w:r>
        <w:t>Verify information before distribution.</w:t>
      </w:r>
    </w:p>
    <w:p>
      <w:pPr>
        <w:pStyle w:val="ListBullet"/>
      </w:pPr>
      <w:r>
        <w:t>Respect ownership and intellectual property.</w:t>
      </w:r>
    </w:p>
    <w:p>
      <w:pPr>
        <w:pStyle w:val="ListBullet"/>
      </w:pPr>
      <w:r>
        <w:t>Document significant collaborative decisions.</w:t>
      </w:r>
    </w:p>
    <w:p>
      <w:pPr>
        <w:pStyle w:val="ListBullet"/>
      </w:pPr>
      <w:r>
        <w:t>Encourage open scientific and historical discussion.</w:t>
      </w:r>
    </w:p>
    <w:p>
      <w:pPr>
        <w:pStyle w:val="ListBullet"/>
      </w:pPr>
      <w:r>
        <w:t>Recognize partner contributions.</w:t>
      </w:r>
    </w:p>
    <w:p>
      <w:pPr>
        <w:pStyle w:val="Heading1"/>
      </w:pPr>
      <w:r>
        <w:t>Global Partnerships</w:t>
      </w:r>
    </w:p>
    <w:p>
      <w:r>
        <w:t>Keeper HQ maintains relationships with museums, libraries, universities, collector organizations, authentication experts, conservation professionals, grading companies, and cultural institutions to advance preservation and education worldwide.</w:t>
      </w:r>
    </w:p>
    <w:p>
      <w:pPr>
        <w:pStyle w:val="Heading1"/>
      </w:pPr>
      <w:r>
        <w:t>Emergency Communications</w:t>
      </w:r>
    </w:p>
    <w:p>
      <w:r>
        <w:t>Critical incidents use redundant communication paths, predefined contact trees, and coordinated messaging to ensure timely, accurate information reaches Keepers, partners, and affected communities.</w:t>
      </w:r>
    </w:p>
    <w:p>
      <w:pPr>
        <w:pStyle w:val="Heading1"/>
      </w:pPr>
      <w:r>
        <w:t>Canon Rules</w:t>
      </w:r>
    </w:p>
    <w:p>
      <w:r>
        <w:t>The communications network reinforces the Collectiverse theme that preservation succeeds through cooperation. It is portrayed as dependable, professional, and inclusive across all franchise media.</w:t>
      </w:r>
    </w:p>
    <w:p>
      <w:pPr>
        <w:pStyle w:val="Heading1"/>
      </w:pPr>
      <w: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Status</w:t>
            </w:r>
          </w:p>
        </w:tc>
        <w:tc>
          <w:tcPr>
            <w:tcW w:type="dxa" w:w="2160"/>
          </w:tcPr>
          <w:p>
            <w:r>
              <w:t>Notes</w:t>
            </w:r>
          </w:p>
        </w:tc>
      </w:tr>
      <w:tr>
        <w:tc>
          <w:tcPr>
            <w:tcW w:type="dxa" w:w="2160"/>
          </w:tcPr>
          <w:p>
            <w:r>
              <w:t>1.0</w:t>
            </w:r>
          </w:p>
        </w:tc>
        <w:tc>
          <w:tcPr>
            <w:tcW w:type="dxa" w:w="2160"/>
          </w:tcPr>
          <w:p>
            <w:r>
              <w:t>2026-07-25</w:t>
            </w:r>
          </w:p>
        </w:tc>
        <w:tc>
          <w:tcPr>
            <w:tcW w:type="dxa" w:w="2160"/>
          </w:tcPr>
          <w:p>
            <w:r>
              <w:t>Draft Canon</w:t>
            </w:r>
          </w:p>
        </w:tc>
        <w:tc>
          <w:tcPr>
            <w:tcW w:type="dxa" w:w="2160"/>
          </w:tcPr>
          <w:p>
            <w:r>
              <w:t>Initial communications and collaboration standards.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