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46: Campus Grounds, Gardens &amp; Outdoor Spaces</w:t>
      </w:r>
    </w:p>
    <w:p>
      <w:pPr>
        <w:pStyle w:val="Heading1"/>
      </w:pPr>
      <w:r>
        <w:t>Purpose</w:t>
      </w:r>
    </w:p>
    <w:p>
      <w:r>
        <w:t>The grounds surrounding Keeper HQ are an extension of its mission. The campus blends landscapes, outdoor learning, public gathering places, and quiet reflection areas to create an environment where preservation, discovery, and community continue beyond the building itself.</w:t>
      </w:r>
    </w:p>
    <w:p>
      <w:pPr>
        <w:pStyle w:val="Heading1"/>
      </w:pPr>
      <w:r>
        <w:t>Landscape Philosophy</w:t>
      </w:r>
    </w:p>
    <w:p>
      <w:pPr>
        <w:pStyle w:val="ListBullet"/>
      </w:pPr>
      <w:r>
        <w:t>Nature and architecture exist in harmony.</w:t>
      </w:r>
    </w:p>
    <w:p>
      <w:pPr>
        <w:pStyle w:val="ListBullet"/>
      </w:pPr>
      <w:r>
        <w:t>Outdoor spaces encourage exploration and conversation.</w:t>
      </w:r>
    </w:p>
    <w:p>
      <w:pPr>
        <w:pStyle w:val="ListBullet"/>
      </w:pPr>
      <w:r>
        <w:t>Every pathway should reveal something worth discovering.</w:t>
      </w:r>
    </w:p>
    <w:p>
      <w:pPr>
        <w:pStyle w:val="ListBullet"/>
      </w:pPr>
      <w:r>
        <w:t>Landscapes support education, accessibility, and sustainability.</w:t>
      </w:r>
    </w:p>
    <w:p>
      <w:pPr>
        <w:pStyle w:val="ListBullet"/>
      </w:pPr>
      <w:r>
        <w:t>Visitors should feel welcome from the moment they arrive.</w:t>
      </w:r>
    </w:p>
    <w:p>
      <w:pPr>
        <w:pStyle w:val="Heading1"/>
      </w:pPr>
      <w:r>
        <w:t>Campus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Purpose</w:t>
            </w:r>
          </w:p>
        </w:tc>
      </w:tr>
      <w:tr>
        <w:tc>
          <w:tcPr>
            <w:tcW w:type="dxa" w:w="4320"/>
          </w:tcPr>
          <w:p>
            <w:r>
              <w:t>Arrival Plaza</w:t>
            </w:r>
          </w:p>
        </w:tc>
        <w:tc>
          <w:tcPr>
            <w:tcW w:type="dxa" w:w="4320"/>
          </w:tcPr>
          <w:p>
            <w:r>
              <w:t>Primary welcome area and gathering point</w:t>
            </w:r>
          </w:p>
        </w:tc>
      </w:tr>
      <w:tr>
        <w:tc>
          <w:tcPr>
            <w:tcW w:type="dxa" w:w="4320"/>
          </w:tcPr>
          <w:p>
            <w:r>
              <w:t>Keeper Garden</w:t>
            </w:r>
          </w:p>
        </w:tc>
        <w:tc>
          <w:tcPr>
            <w:tcW w:type="dxa" w:w="4320"/>
          </w:tcPr>
          <w:p>
            <w:r>
              <w:t>Native plants, seating, and reflection spaces</w:t>
            </w:r>
          </w:p>
        </w:tc>
      </w:tr>
      <w:tr>
        <w:tc>
          <w:tcPr>
            <w:tcW w:type="dxa" w:w="4320"/>
          </w:tcPr>
          <w:p>
            <w:r>
              <w:t>Hall of Legends Walk</w:t>
            </w:r>
          </w:p>
        </w:tc>
        <w:tc>
          <w:tcPr>
            <w:tcW w:type="dxa" w:w="4320"/>
          </w:tcPr>
          <w:p>
            <w:r>
              <w:t>Path celebrating legendary collectors and discoveries</w:t>
            </w:r>
          </w:p>
        </w:tc>
      </w:tr>
      <w:tr>
        <w:tc>
          <w:tcPr>
            <w:tcW w:type="dxa" w:w="4320"/>
          </w:tcPr>
          <w:p>
            <w:r>
              <w:t>Outdoor Exhibit Court</w:t>
            </w:r>
          </w:p>
        </w:tc>
        <w:tc>
          <w:tcPr>
            <w:tcW w:type="dxa" w:w="4320"/>
          </w:tcPr>
          <w:p>
            <w:r>
              <w:t>Large artifacts, sculptures, and temporary displays</w:t>
            </w:r>
          </w:p>
        </w:tc>
      </w:tr>
      <w:tr>
        <w:tc>
          <w:tcPr>
            <w:tcW w:type="dxa" w:w="4320"/>
          </w:tcPr>
          <w:p>
            <w:r>
              <w:t>Community Amphitheater</w:t>
            </w:r>
          </w:p>
        </w:tc>
        <w:tc>
          <w:tcPr>
            <w:tcW w:type="dxa" w:w="4320"/>
          </w:tcPr>
          <w:p>
            <w:r>
              <w:t>Public presentations, ceremonies, and performances</w:t>
            </w:r>
          </w:p>
        </w:tc>
      </w:tr>
      <w:tr>
        <w:tc>
          <w:tcPr>
            <w:tcW w:type="dxa" w:w="4320"/>
          </w:tcPr>
          <w:p>
            <w:r>
              <w:t>Exploration Trails</w:t>
            </w:r>
          </w:p>
        </w:tc>
        <w:tc>
          <w:tcPr>
            <w:tcW w:type="dxa" w:w="4320"/>
          </w:tcPr>
          <w:p>
            <w:r>
              <w:t>Educational walking paths with interactive learning stations</w:t>
            </w:r>
          </w:p>
        </w:tc>
      </w:tr>
      <w:tr>
        <w:tc>
          <w:tcPr>
            <w:tcW w:type="dxa" w:w="4320"/>
          </w:tcPr>
          <w:p>
            <w:r>
              <w:t>Memorial Grove</w:t>
            </w:r>
          </w:p>
        </w:tc>
        <w:tc>
          <w:tcPr>
            <w:tcW w:type="dxa" w:w="4320"/>
          </w:tcPr>
          <w:p>
            <w:r>
              <w:t>Quiet area honoring preservation pioneers and historical milestones</w:t>
            </w:r>
          </w:p>
        </w:tc>
      </w:tr>
    </w:tbl>
    <w:p>
      <w:pPr>
        <w:pStyle w:val="Heading1"/>
      </w:pPr>
      <w:r>
        <w:t>Outdoor Programming</w:t>
      </w:r>
    </w:p>
    <w:p>
      <w:r>
        <w:t>The campus hosts seasonal festivals, collectible fairs, educational workshops, outdoor classes, family activities, charity events, and community celebrations that reinforce the Collectiverse mission.</w:t>
      </w:r>
    </w:p>
    <w:p>
      <w:pPr>
        <w:pStyle w:val="Heading1"/>
      </w:pPr>
      <w:r>
        <w:t>Accessibility &amp; Safety</w:t>
      </w:r>
    </w:p>
    <w:p>
      <w:pPr>
        <w:pStyle w:val="ListBullet"/>
      </w:pPr>
      <w:r>
        <w:t>Barrier-free pathways throughout the campus.</w:t>
      </w:r>
    </w:p>
    <w:p>
      <w:pPr>
        <w:pStyle w:val="ListBullet"/>
      </w:pPr>
      <w:r>
        <w:t>Clear wayfinding and educational signage.</w:t>
      </w:r>
    </w:p>
    <w:p>
      <w:pPr>
        <w:pStyle w:val="ListBullet"/>
      </w:pPr>
      <w:r>
        <w:t>Weather-resistant gathering spaces.</w:t>
      </w:r>
    </w:p>
    <w:p>
      <w:pPr>
        <w:pStyle w:val="ListBullet"/>
      </w:pPr>
      <w:r>
        <w:t>Landscape lighting designed for safety and comfort.</w:t>
      </w:r>
    </w:p>
    <w:p>
      <w:pPr>
        <w:pStyle w:val="ListBullet"/>
      </w:pPr>
      <w:r>
        <w:t>Emergency access integrated without disrupting aesthetics.</w:t>
      </w:r>
    </w:p>
    <w:p>
      <w:pPr>
        <w:pStyle w:val="Heading1"/>
      </w:pPr>
      <w:r>
        <w:t>Canon Rules</w:t>
      </w:r>
    </w:p>
    <w:p>
      <w:r>
        <w:t>The Keeper HQ campus is portrayed as vibrant, peaceful, and active throughout the year. It serves as a recognizable destination where collectors, families, researchers, and the Keepers naturally gather.</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campus grounds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