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47: Future Expansion &amp; Campus Master Plan</w:t>
      </w:r>
    </w:p>
    <w:p>
      <w:pPr>
        <w:pStyle w:val="Heading1"/>
      </w:pPr>
      <w:r>
        <w:t>Purpose</w:t>
      </w:r>
    </w:p>
    <w:p>
      <w:r>
        <w:t>The Keeper HQ Master Plan establishes how the campus can evolve over decades while preserving its recognizable identity. Expansion is intentional, supporting new stories, technologies, collections, and visitor experiences without contradicting established canon.</w:t>
      </w:r>
    </w:p>
    <w:p>
      <w:pPr>
        <w:pStyle w:val="Heading1"/>
      </w:pPr>
      <w:r>
        <w:t>Expansion Philosophy</w:t>
      </w:r>
    </w:p>
    <w:p>
      <w:pPr>
        <w:pStyle w:val="ListBullet"/>
      </w:pPr>
      <w:r>
        <w:t>Preserve the heart of Keeper HQ while allowing thoughtful growth.</w:t>
      </w:r>
    </w:p>
    <w:p>
      <w:pPr>
        <w:pStyle w:val="ListBullet"/>
      </w:pPr>
      <w:r>
        <w:t>New facilities should strengthen community, education, and preservation.</w:t>
      </w:r>
    </w:p>
    <w:p>
      <w:pPr>
        <w:pStyle w:val="ListBullet"/>
      </w:pPr>
      <w:r>
        <w:t>Expansion must feel organic rather than disruptive.</w:t>
      </w:r>
    </w:p>
    <w:p>
      <w:pPr>
        <w:pStyle w:val="ListBullet"/>
      </w:pPr>
      <w:r>
        <w:t>Every addition should create new storytelling opportunities.</w:t>
      </w:r>
    </w:p>
    <w:p>
      <w:pPr>
        <w:pStyle w:val="ListBullet"/>
      </w:pPr>
      <w:r>
        <w:t>Future development should remain architecturally consistent with the original campus.</w:t>
      </w:r>
    </w:p>
    <w:p>
      <w:pPr>
        <w:pStyle w:val="Heading1"/>
      </w:pPr>
      <w:r>
        <w:t>Planned Expansion Districts</w:t>
      </w:r>
    </w:p>
    <w:tbl>
      <w:tblPr>
        <w:tblStyle w:val="TableGrid"/>
        <w:tblW w:type="auto" w:w="0"/>
        <w:tblLook w:firstColumn="1" w:firstRow="1" w:lastColumn="0" w:lastRow="0" w:noHBand="0" w:noVBand="1" w:val="04A0"/>
      </w:tblPr>
      <w:tblGrid>
        <w:gridCol w:w="4320"/>
        <w:gridCol w:w="4320"/>
      </w:tblGrid>
      <w:tr>
        <w:tc>
          <w:tcPr>
            <w:tcW w:type="dxa" w:w="4320"/>
          </w:tcPr>
          <w:p>
            <w:r>
              <w:t>District</w:t>
            </w:r>
          </w:p>
        </w:tc>
        <w:tc>
          <w:tcPr>
            <w:tcW w:type="dxa" w:w="4320"/>
          </w:tcPr>
          <w:p>
            <w:r>
              <w:t>Long-Term Purpose</w:t>
            </w:r>
          </w:p>
        </w:tc>
      </w:tr>
      <w:tr>
        <w:tc>
          <w:tcPr>
            <w:tcW w:type="dxa" w:w="4320"/>
          </w:tcPr>
          <w:p>
            <w:r>
              <w:t>Innovation Center</w:t>
            </w:r>
          </w:p>
        </w:tc>
        <w:tc>
          <w:tcPr>
            <w:tcW w:type="dxa" w:w="4320"/>
          </w:tcPr>
          <w:p>
            <w:r>
              <w:t>Emerging technologies, prototype labs, and future research</w:t>
            </w:r>
          </w:p>
        </w:tc>
      </w:tr>
      <w:tr>
        <w:tc>
          <w:tcPr>
            <w:tcW w:type="dxa" w:w="4320"/>
          </w:tcPr>
          <w:p>
            <w:r>
              <w:t>International Pavilion</w:t>
            </w:r>
          </w:p>
        </w:tc>
        <w:tc>
          <w:tcPr>
            <w:tcW w:type="dxa" w:w="4320"/>
          </w:tcPr>
          <w:p>
            <w:r>
              <w:t>Global collections and cultural exchange</w:t>
            </w:r>
          </w:p>
        </w:tc>
      </w:tr>
      <w:tr>
        <w:tc>
          <w:tcPr>
            <w:tcW w:type="dxa" w:w="4320"/>
          </w:tcPr>
          <w:p>
            <w:r>
              <w:t>Expanded Museum Wing</w:t>
            </w:r>
          </w:p>
        </w:tc>
        <w:tc>
          <w:tcPr>
            <w:tcW w:type="dxa" w:w="4320"/>
          </w:tcPr>
          <w:p>
            <w:r>
              <w:t>Major traveling exhibits and franchise milestones</w:t>
            </w:r>
          </w:p>
        </w:tc>
      </w:tr>
      <w:tr>
        <w:tc>
          <w:tcPr>
            <w:tcW w:type="dxa" w:w="4320"/>
          </w:tcPr>
          <w:p>
            <w:r>
              <w:t>Youth Discovery Campus</w:t>
            </w:r>
          </w:p>
        </w:tc>
        <w:tc>
          <w:tcPr>
            <w:tcW w:type="dxa" w:w="4320"/>
          </w:tcPr>
          <w:p>
            <w:r>
              <w:t>Hands-on education for children and families</w:t>
            </w:r>
          </w:p>
        </w:tc>
      </w:tr>
      <w:tr>
        <w:tc>
          <w:tcPr>
            <w:tcW w:type="dxa" w:w="4320"/>
          </w:tcPr>
          <w:p>
            <w:r>
              <w:t>Preservation Institute</w:t>
            </w:r>
          </w:p>
        </w:tc>
        <w:tc>
          <w:tcPr>
            <w:tcW w:type="dxa" w:w="4320"/>
          </w:tcPr>
          <w:p>
            <w:r>
              <w:t>Advanced conservation training and certification</w:t>
            </w:r>
          </w:p>
        </w:tc>
      </w:tr>
      <w:tr>
        <w:tc>
          <w:tcPr>
            <w:tcW w:type="dxa" w:w="4320"/>
          </w:tcPr>
          <w:p>
            <w:r>
              <w:t>Media &amp; Production Studio</w:t>
            </w:r>
          </w:p>
        </w:tc>
        <w:tc>
          <w:tcPr>
            <w:tcW w:type="dxa" w:w="4320"/>
          </w:tcPr>
          <w:p>
            <w:r>
              <w:t>Broadcasts, documentaries, and educational content</w:t>
            </w:r>
          </w:p>
        </w:tc>
      </w:tr>
    </w:tbl>
    <w:p>
      <w:pPr>
        <w:pStyle w:val="Heading1"/>
      </w:pPr>
      <w:r>
        <w:t>Master Planning Principles</w:t>
      </w:r>
    </w:p>
    <w:p>
      <w:pPr>
        <w:pStyle w:val="ListBullet"/>
      </w:pPr>
      <w:r>
        <w:t>Protect views of the central Great Hall.</w:t>
      </w:r>
    </w:p>
    <w:p>
      <w:pPr>
        <w:pStyle w:val="ListBullet"/>
      </w:pPr>
      <w:r>
        <w:t>Maintain walkable campus connections.</w:t>
      </w:r>
    </w:p>
    <w:p>
      <w:pPr>
        <w:pStyle w:val="ListBullet"/>
      </w:pPr>
      <w:r>
        <w:t>Expand infrastructure before capacity becomes constrained.</w:t>
      </w:r>
    </w:p>
    <w:p>
      <w:pPr>
        <w:pStyle w:val="ListBullet"/>
      </w:pPr>
      <w:r>
        <w:t>Preserve gardens and public gathering spaces.</w:t>
      </w:r>
    </w:p>
    <w:p>
      <w:pPr>
        <w:pStyle w:val="ListBullet"/>
      </w:pPr>
      <w:r>
        <w:t>Design for future technologies without requiring major reconstruction.</w:t>
      </w:r>
    </w:p>
    <w:p>
      <w:pPr>
        <w:pStyle w:val="Heading1"/>
      </w:pPr>
      <w:r>
        <w:t>Phased Growth</w:t>
      </w:r>
    </w:p>
    <w:p>
      <w:r>
        <w:t>Campus development follows phased expansion plans. Each phase is independently functional while supporting the long-term vision of Keeper HQ as the world's premier destination for collectible preservation, education, and community.</w:t>
      </w:r>
    </w:p>
    <w:p>
      <w:pPr>
        <w:pStyle w:val="Heading1"/>
      </w:pPr>
      <w:r>
        <w:t>Canon Rules</w:t>
      </w:r>
    </w:p>
    <w:p>
      <w:r>
        <w:t>Future stories may introduce new buildings and districts, but the Great Hall, Grand Archive, Museum, Residential Wing, Mission Operations Center, and surrounding campus remain the permanent foundation of Keeper HQ.</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campus master plan.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