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48: Franchise Canon Governance &amp; Continuity</w:t>
      </w:r>
    </w:p>
    <w:p>
      <w:pPr>
        <w:pStyle w:val="Heading1"/>
      </w:pPr>
      <w:r>
        <w:t>Purpose</w:t>
      </w:r>
    </w:p>
    <w:p>
      <w:r>
        <w:t>This chapter establishes the rules that govern official Collectiverse canon. Its purpose is to ensure every story, character, location, product, game, animation, book, attraction, and licensed experience presents a consistent universe while still allowing thoughtful expansion.</w:t>
      </w:r>
    </w:p>
    <w:p>
      <w:pPr>
        <w:pStyle w:val="Heading1"/>
      </w:pPr>
      <w:r>
        <w:t>Guiding Principles</w:t>
      </w:r>
    </w:p>
    <w:p>
      <w:pPr>
        <w:pStyle w:val="ListBullet"/>
      </w:pPr>
      <w:r>
        <w:t>Canon is intentional, not accidental.</w:t>
      </w:r>
    </w:p>
    <w:p>
      <w:pPr>
        <w:pStyle w:val="ListBullet"/>
      </w:pPr>
      <w:r>
        <w:t>Consistency builds audience trust.</w:t>
      </w:r>
    </w:p>
    <w:p>
      <w:pPr>
        <w:pStyle w:val="ListBullet"/>
      </w:pPr>
      <w:r>
        <w:t>Expansion should enrich existing lore rather than replace it.</w:t>
      </w:r>
    </w:p>
    <w:p>
      <w:pPr>
        <w:pStyle w:val="ListBullet"/>
      </w:pPr>
      <w:r>
        <w:t>Documented decisions override assumptions.</w:t>
      </w:r>
    </w:p>
    <w:p>
      <w:pPr>
        <w:pStyle w:val="ListBullet"/>
      </w:pPr>
      <w:r>
        <w:t>Every canonical addition must support the core mission of preservation, education, and community.</w:t>
      </w:r>
    </w:p>
    <w:p>
      <w:pPr>
        <w:pStyle w:val="Heading1"/>
      </w:pPr>
      <w:r>
        <w:t>Canonical Hierarchy</w:t>
      </w:r>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Authority</w:t>
            </w:r>
          </w:p>
        </w:tc>
      </w:tr>
      <w:tr>
        <w:tc>
          <w:tcPr>
            <w:tcW w:type="dxa" w:w="4320"/>
          </w:tcPr>
          <w:p>
            <w:r>
              <w:t>Tier 1</w:t>
            </w:r>
          </w:p>
        </w:tc>
        <w:tc>
          <w:tcPr>
            <w:tcW w:type="dxa" w:w="4320"/>
          </w:tcPr>
          <w:p>
            <w:r>
              <w:t>Official Franchise Bible and approved production standards</w:t>
            </w:r>
          </w:p>
        </w:tc>
      </w:tr>
      <w:tr>
        <w:tc>
          <w:tcPr>
            <w:tcW w:type="dxa" w:w="4320"/>
          </w:tcPr>
          <w:p>
            <w:r>
              <w:t>Tier 2</w:t>
            </w:r>
          </w:p>
        </w:tc>
        <w:tc>
          <w:tcPr>
            <w:tcW w:type="dxa" w:w="4320"/>
          </w:tcPr>
          <w:p>
            <w:r>
              <w:t>Animated productions, feature stories, and official games</w:t>
            </w:r>
          </w:p>
        </w:tc>
      </w:tr>
      <w:tr>
        <w:tc>
          <w:tcPr>
            <w:tcW w:type="dxa" w:w="4320"/>
          </w:tcPr>
          <w:p>
            <w:r>
              <w:t>Tier 3</w:t>
            </w:r>
          </w:p>
        </w:tc>
        <w:tc>
          <w:tcPr>
            <w:tcW w:type="dxa" w:w="4320"/>
          </w:tcPr>
          <w:p>
            <w:r>
              <w:t>Licensed books, educational publications, and comics</w:t>
            </w:r>
          </w:p>
        </w:tc>
      </w:tr>
      <w:tr>
        <w:tc>
          <w:tcPr>
            <w:tcW w:type="dxa" w:w="4320"/>
          </w:tcPr>
          <w:p>
            <w:r>
              <w:t>Tier 4</w:t>
            </w:r>
          </w:p>
        </w:tc>
        <w:tc>
          <w:tcPr>
            <w:tcW w:type="dxa" w:w="4320"/>
          </w:tcPr>
          <w:p>
            <w:r>
              <w:t>Marketing material, promotional content, and social media</w:t>
            </w:r>
          </w:p>
        </w:tc>
      </w:tr>
      <w:tr>
        <w:tc>
          <w:tcPr>
            <w:tcW w:type="dxa" w:w="4320"/>
          </w:tcPr>
          <w:p>
            <w:r>
              <w:t>Tier 5</w:t>
            </w:r>
          </w:p>
        </w:tc>
        <w:tc>
          <w:tcPr>
            <w:tcW w:type="dxa" w:w="4320"/>
          </w:tcPr>
          <w:p>
            <w:r>
              <w:t>Concept art, prototypes, and non-canonical explorations</w:t>
            </w:r>
          </w:p>
        </w:tc>
      </w:tr>
    </w:tbl>
    <w:p>
      <w:pPr>
        <w:pStyle w:val="Heading1"/>
      </w:pPr>
      <w:r>
        <w:t>Continuity Standards</w:t>
      </w:r>
    </w:p>
    <w:p>
      <w:pPr>
        <w:pStyle w:val="ListBullet"/>
      </w:pPr>
      <w:r>
        <w:t>Characters retain established identities and visual designs.</w:t>
      </w:r>
    </w:p>
    <w:p>
      <w:pPr>
        <w:pStyle w:val="ListBullet"/>
      </w:pPr>
      <w:r>
        <w:t>Keeper HQ remains geographically and architecturally consistent.</w:t>
      </w:r>
    </w:p>
    <w:p>
      <w:pPr>
        <w:pStyle w:val="ListBullet"/>
      </w:pPr>
      <w:r>
        <w:t>Major historical events cannot be contradicted without a documented revision.</w:t>
      </w:r>
    </w:p>
    <w:p>
      <w:pPr>
        <w:pStyle w:val="ListBullet"/>
      </w:pPr>
      <w:r>
        <w:t>Technology evolves logically over time.</w:t>
      </w:r>
    </w:p>
    <w:p>
      <w:pPr>
        <w:pStyle w:val="ListBullet"/>
      </w:pPr>
      <w:r>
        <w:t>Retcons require formal approval and version updates.</w:t>
      </w:r>
    </w:p>
    <w:p>
      <w:pPr>
        <w:pStyle w:val="Heading1"/>
      </w:pPr>
      <w:r>
        <w:t>Change Management</w:t>
      </w:r>
    </w:p>
    <w:p>
      <w:r>
        <w:t>Proposed canonical changes are evaluated for continuity impact, reviewed against existing standards, documented with rationale, versioned, and approved before entering official franchise canon.</w:t>
      </w:r>
    </w:p>
    <w:p>
      <w:pPr>
        <w:pStyle w:val="Heading1"/>
      </w:pPr>
      <w:r>
        <w:t>Governance</w:t>
      </w:r>
    </w:p>
    <w:p>
      <w:r>
        <w:t>The Franchise Bible serves as the authoritative reference for all creative teams. Production leads, writers, artists, and licensees are expected to consult the current approved version before introducing new canonical material.</w:t>
      </w:r>
    </w:p>
    <w:p>
      <w:pPr>
        <w:pStyle w:val="Heading1"/>
      </w:pPr>
      <w:r>
        <w:t>Canon Rules</w:t>
      </w:r>
    </w:p>
    <w:p>
      <w:r>
        <w:t>When conflicts arise between published material, the highest canonical tier prevails unless a later approved revision explicitly supersedes it.</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canon governance framework.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