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Franchise Standards</w:t>
      </w:r>
    </w:p>
    <w:p>
      <w:pPr>
        <w:jc w:val="center"/>
      </w:pPr>
      <w:r>
        <w:rPr>
          <w:b/>
        </w:rPr>
        <w:t>Volume 01 – Franchise Bible</w:t>
        <w:br/>
      </w:r>
      <w:r>
        <w:t>Part 14: Technology &amp; Infrastructure</w:t>
      </w:r>
    </w:p>
    <w:p>
      <w:pPr>
        <w:pStyle w:val="Heading1"/>
      </w:pPr>
      <w:r>
        <w:t>Purpose</w:t>
      </w:r>
    </w:p>
    <w:p>
      <w:r>
        <w:t>This chapter establishes the core technologies that exist within the Collectiverse universe. Technology enhances the mission of preservation, authentication, education, and community without becoming the focus of the franchise.</w:t>
      </w:r>
    </w:p>
    <w:p>
      <w:pPr>
        <w:pStyle w:val="Heading1"/>
      </w:pPr>
      <w:r>
        <w:t>Technology Philosophy</w:t>
      </w:r>
    </w:p>
    <w:p>
      <w:r>
        <w:t>Technology exists to help people make better decisions, preserve history more effectively, and connect collectors across the world. It should feel advanced, reliable, approachable, and visually timeless rather than futuristic for its own sake.</w:t>
      </w:r>
    </w:p>
    <w:p>
      <w:pPr>
        <w:pStyle w:val="Heading1"/>
      </w:pPr>
      <w:r>
        <w:t>Core Technology Categories</w:t>
      </w:r>
    </w:p>
    <w:tbl>
      <w:tblPr>
        <w:tblStyle w:val="TableGrid"/>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Purpose</w:t>
            </w:r>
          </w:p>
        </w:tc>
      </w:tr>
      <w:tr>
        <w:tc>
          <w:tcPr>
            <w:tcW w:type="dxa" w:w="4320"/>
          </w:tcPr>
          <w:p>
            <w:r>
              <w:t>Atlas Network</w:t>
            </w:r>
          </w:p>
        </w:tc>
        <w:tc>
          <w:tcPr>
            <w:tcW w:type="dxa" w:w="4320"/>
          </w:tcPr>
          <w:p>
            <w:r>
              <w:t>The secure communications backbone connecting the Keepers, partner institutions, and authorized field systems.</w:t>
            </w:r>
          </w:p>
        </w:tc>
      </w:tr>
      <w:tr>
        <w:tc>
          <w:tcPr>
            <w:tcW w:type="dxa" w:w="4320"/>
          </w:tcPr>
          <w:p>
            <w:r>
              <w:t>Authentication Systems</w:t>
            </w:r>
          </w:p>
        </w:tc>
        <w:tc>
          <w:tcPr>
            <w:tcW w:type="dxa" w:w="4320"/>
          </w:tcPr>
          <w:p>
            <w:r>
              <w:t>Portable and laboratory tools for examining provenance, restoration, materials, inks, holograms, and security features.</w:t>
            </w:r>
          </w:p>
        </w:tc>
      </w:tr>
      <w:tr>
        <w:tc>
          <w:tcPr>
            <w:tcW w:type="dxa" w:w="4320"/>
          </w:tcPr>
          <w:p>
            <w:r>
              <w:t>Collector Knowledge Archive</w:t>
            </w:r>
          </w:p>
        </w:tc>
        <w:tc>
          <w:tcPr>
            <w:tcW w:type="dxa" w:w="4320"/>
          </w:tcPr>
          <w:p>
            <w:r>
              <w:t>A searchable digital repository containing authenticated research, historical records, and educational resources.</w:t>
            </w:r>
          </w:p>
        </w:tc>
      </w:tr>
      <w:tr>
        <w:tc>
          <w:tcPr>
            <w:tcW w:type="dxa" w:w="4320"/>
          </w:tcPr>
          <w:p>
            <w:r>
              <w:t>Mission Support Systems</w:t>
            </w:r>
          </w:p>
        </w:tc>
        <w:tc>
          <w:tcPr>
            <w:tcW w:type="dxa" w:w="4320"/>
          </w:tcPr>
          <w:p>
            <w:r>
              <w:t>Planning, logistics, mapping, case management, and coordination tools used by the Keepers.</w:t>
            </w:r>
          </w:p>
        </w:tc>
      </w:tr>
      <w:tr>
        <w:tc>
          <w:tcPr>
            <w:tcW w:type="dxa" w:w="4320"/>
          </w:tcPr>
          <w:p>
            <w:r>
              <w:t>Preservation Technologies</w:t>
            </w:r>
          </w:p>
        </w:tc>
        <w:tc>
          <w:tcPr>
            <w:tcW w:type="dxa" w:w="4320"/>
          </w:tcPr>
          <w:p>
            <w:r>
              <w:t>Climate monitoring, environmental protection, restoration support, and long-term archival systems.</w:t>
            </w:r>
          </w:p>
        </w:tc>
      </w:tr>
      <w:tr>
        <w:tc>
          <w:tcPr>
            <w:tcW w:type="dxa" w:w="4320"/>
          </w:tcPr>
          <w:p>
            <w:r>
              <w:t>Transportation Systems</w:t>
            </w:r>
          </w:p>
        </w:tc>
        <w:tc>
          <w:tcPr>
            <w:tcW w:type="dxa" w:w="4320"/>
          </w:tcPr>
          <w:p>
            <w:r>
              <w:t>Ground, air, and mobile support vehicles designed to safely transport personnel and valuable collections.</w:t>
            </w:r>
          </w:p>
        </w:tc>
      </w:tr>
    </w:tbl>
    <w:p>
      <w:pPr>
        <w:pStyle w:val="Heading1"/>
      </w:pPr>
      <w:r>
        <w:t>Design Standards</w:t>
      </w:r>
    </w:p>
    <w:p>
      <w:pPr>
        <w:pStyle w:val="ListBullet"/>
      </w:pPr>
      <w:r>
        <w:t>Technology should appear durable, elegant, and easy to understand.</w:t>
      </w:r>
    </w:p>
    <w:p>
      <w:pPr>
        <w:pStyle w:val="ListBullet"/>
      </w:pPr>
      <w:r>
        <w:t>Interfaces emphasize clarity over complexity.</w:t>
      </w:r>
    </w:p>
    <w:p>
      <w:pPr>
        <w:pStyle w:val="ListBullet"/>
      </w:pPr>
      <w:r>
        <w:t>Blue and gold remain the primary visual accents for Keeper technology.</w:t>
      </w:r>
    </w:p>
    <w:p>
      <w:pPr>
        <w:pStyle w:val="ListBullet"/>
      </w:pPr>
      <w:r>
        <w:t>Equipment is designed to assist expertise—not replace it.</w:t>
      </w:r>
    </w:p>
    <w:p>
      <w:pPr>
        <w:pStyle w:val="ListBullet"/>
      </w:pPr>
      <w:r>
        <w:t>Safety and preservation always take precedence over speed.</w:t>
      </w:r>
    </w:p>
    <w:p>
      <w:pPr>
        <w:pStyle w:val="Heading1"/>
      </w:pPr>
      <w:r>
        <w:t>Canon Rules</w:t>
      </w:r>
    </w:p>
    <w:p>
      <w:pPr>
        <w:pStyle w:val="ListBullet"/>
      </w:pPr>
      <w:r>
        <w:t>Major technologies receive permanent CCIDs.</w:t>
      </w:r>
    </w:p>
    <w:p>
      <w:pPr>
        <w:pStyle w:val="ListBullet"/>
      </w:pPr>
      <w:r>
        <w:t>Technology should never solve every problem instantly.</w:t>
      </w:r>
    </w:p>
    <w:p>
      <w:pPr>
        <w:pStyle w:val="ListBullet"/>
      </w:pPr>
      <w:r>
        <w:t>Future inventions must remain consistent with the franchise philosophy.</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Status</w:t>
            </w:r>
          </w:p>
        </w:tc>
        <w:tc>
          <w:tcPr>
            <w:tcW w:type="dxa" w:w="2160"/>
          </w:tcPr>
          <w:p>
            <w:r>
              <w:t>Notes</w:t>
            </w:r>
          </w:p>
        </w:tc>
      </w:tr>
      <w:tr>
        <w:tc>
          <w:tcPr>
            <w:tcW w:type="dxa" w:w="2160"/>
          </w:tcPr>
          <w:p>
            <w:r>
              <w:t>1.0</w:t>
            </w:r>
          </w:p>
        </w:tc>
        <w:tc>
          <w:tcPr>
            <w:tcW w:type="dxa" w:w="2160"/>
          </w:tcPr>
          <w:p>
            <w:r>
              <w:t>2026-07-25</w:t>
            </w:r>
          </w:p>
        </w:tc>
        <w:tc>
          <w:tcPr>
            <w:tcW w:type="dxa" w:w="2160"/>
          </w:tcPr>
          <w:p>
            <w:r>
              <w:t>Draft Canon</w:t>
            </w:r>
          </w:p>
        </w:tc>
        <w:tc>
          <w:tcPr>
            <w:tcW w:type="dxa" w:w="2160"/>
          </w:tcPr>
          <w:p>
            <w:r>
              <w:t>Initial technology chapter.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