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24: Collector Relations &amp; Community Engagement</w:t>
      </w:r>
    </w:p>
    <w:p>
      <w:pPr>
        <w:pStyle w:val="Heading1"/>
      </w:pPr>
      <w:r>
        <w:t>Purpose</w:t>
      </w:r>
    </w:p>
    <w:p>
      <w:r>
        <w:t>The Keepers exist to serve collectors and preserve history with them, not apart from them. This chapter defines how Keepers interact with the collecting community and build lasting trust.</w:t>
      </w:r>
    </w:p>
    <w:p>
      <w:pPr>
        <w:pStyle w:val="Heading1"/>
      </w:pPr>
      <w:r>
        <w:t>Community Philosophy</w:t>
      </w:r>
    </w:p>
    <w:p>
      <w:r>
        <w:t>Every collector—regardless of age, experience, or collection size—deserves respect. The Keepers educate, encourage, and inspire rather than judge or compete.</w:t>
      </w:r>
    </w:p>
    <w:p>
      <w:pPr>
        <w:pStyle w:val="Heading1"/>
      </w:pPr>
      <w:r>
        <w:t>Core Principles</w:t>
      </w:r>
    </w:p>
    <w:p>
      <w:pPr>
        <w:pStyle w:val="ListBullet"/>
      </w:pPr>
      <w:r>
        <w:t>Welcome everyone into the hobby.</w:t>
      </w:r>
    </w:p>
    <w:p>
      <w:pPr>
        <w:pStyle w:val="ListBullet"/>
      </w:pPr>
      <w:r>
        <w:t>Share knowledge freely.</w:t>
      </w:r>
    </w:p>
    <w:p>
      <w:pPr>
        <w:pStyle w:val="ListBullet"/>
      </w:pPr>
      <w:r>
        <w:t>Celebrate authentic discoveries.</w:t>
      </w:r>
    </w:p>
    <w:p>
      <w:pPr>
        <w:pStyle w:val="ListBullet"/>
      </w:pPr>
      <w:r>
        <w:t>Respect differing collecting interests.</w:t>
      </w:r>
    </w:p>
    <w:p>
      <w:pPr>
        <w:pStyle w:val="ListBullet"/>
      </w:pPr>
      <w:r>
        <w:t>Promote ethical buying, selling, and trading.</w:t>
      </w:r>
    </w:p>
    <w:p>
      <w:pPr>
        <w:pStyle w:val="ListBullet"/>
      </w:pPr>
      <w:r>
        <w:t>Leave the community stronger than you found it.</w:t>
      </w:r>
    </w:p>
    <w:p>
      <w:pPr>
        <w:pStyle w:val="Heading1"/>
      </w:pPr>
      <w:r>
        <w:t>Community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Lead Keeper</w:t>
            </w:r>
          </w:p>
        </w:tc>
      </w:tr>
      <w:tr>
        <w:tc>
          <w:tcPr>
            <w:tcW w:type="dxa" w:w="2880"/>
          </w:tcPr>
          <w:p>
            <w:r>
              <w:t>School Programs</w:t>
            </w:r>
          </w:p>
        </w:tc>
        <w:tc>
          <w:tcPr>
            <w:tcW w:type="dxa" w:w="2880"/>
          </w:tcPr>
          <w:p>
            <w:r>
              <w:t>Teach preservation and collecting</w:t>
            </w:r>
          </w:p>
        </w:tc>
        <w:tc>
          <w:tcPr>
            <w:tcW w:type="dxa" w:w="2880"/>
          </w:tcPr>
          <w:p>
            <w:r>
              <w:t>Ink &amp; Echo</w:t>
            </w:r>
          </w:p>
        </w:tc>
      </w:tr>
      <w:tr>
        <w:tc>
          <w:tcPr>
            <w:tcW w:type="dxa" w:w="2880"/>
          </w:tcPr>
          <w:p>
            <w:r>
              <w:t>Collector Clinics</w:t>
            </w:r>
          </w:p>
        </w:tc>
        <w:tc>
          <w:tcPr>
            <w:tcW w:type="dxa" w:w="2880"/>
          </w:tcPr>
          <w:p>
            <w:r>
              <w:t>Authentication and care</w:t>
            </w:r>
          </w:p>
        </w:tc>
        <w:tc>
          <w:tcPr>
            <w:tcW w:type="dxa" w:w="2880"/>
          </w:tcPr>
          <w:p>
            <w:r>
              <w:t>Sterling</w:t>
            </w:r>
          </w:p>
        </w:tc>
      </w:tr>
      <w:tr>
        <w:tc>
          <w:tcPr>
            <w:tcW w:type="dxa" w:w="2880"/>
          </w:tcPr>
          <w:p>
            <w:r>
              <w:t>Restoration Workshops</w:t>
            </w:r>
          </w:p>
        </w:tc>
        <w:tc>
          <w:tcPr>
            <w:tcW w:type="dxa" w:w="2880"/>
          </w:tcPr>
          <w:p>
            <w:r>
              <w:t>Safe conservation practices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</w:tr>
      <w:tr>
        <w:tc>
          <w:tcPr>
            <w:tcW w:type="dxa" w:w="2880"/>
          </w:tcPr>
          <w:p>
            <w:r>
              <w:t>Community Events</w:t>
            </w:r>
          </w:p>
        </w:tc>
        <w:tc>
          <w:tcPr>
            <w:tcW w:type="dxa" w:w="2880"/>
          </w:tcPr>
          <w:p>
            <w:r>
              <w:t>Build relationships</w:t>
            </w:r>
          </w:p>
        </w:tc>
        <w:tc>
          <w:tcPr>
            <w:tcW w:type="dxa" w:w="2880"/>
          </w:tcPr>
          <w:p>
            <w:r>
              <w:t>Atlas</w:t>
            </w:r>
          </w:p>
        </w:tc>
      </w:tr>
      <w:tr>
        <w:tc>
          <w:tcPr>
            <w:tcW w:type="dxa" w:w="2880"/>
          </w:tcPr>
          <w:p>
            <w:r>
              <w:t>Convention Panels</w:t>
            </w:r>
          </w:p>
        </w:tc>
        <w:tc>
          <w:tcPr>
            <w:tcW w:type="dxa" w:w="2880"/>
          </w:tcPr>
          <w:p>
            <w:r>
              <w:t>Education and outreach</w:t>
            </w:r>
          </w:p>
        </w:tc>
        <w:tc>
          <w:tcPr>
            <w:tcW w:type="dxa" w:w="2880"/>
          </w:tcPr>
          <w:p>
            <w:r>
              <w:t>Entire Team</w:t>
            </w:r>
          </w:p>
        </w:tc>
      </w:tr>
    </w:tbl>
    <w:p>
      <w:pPr>
        <w:pStyle w:val="Heading1"/>
      </w:pPr>
      <w:r>
        <w:t>Communication Standards</w:t>
      </w:r>
    </w:p>
    <w:p>
      <w:pPr>
        <w:pStyle w:val="ListBullet"/>
      </w:pPr>
      <w:r>
        <w:t>Be truthful and transparent.</w:t>
      </w:r>
    </w:p>
    <w:p>
      <w:pPr>
        <w:pStyle w:val="ListBullet"/>
      </w:pPr>
      <w:r>
        <w:t>Avoid elitism or gatekeeping.</w:t>
      </w:r>
    </w:p>
    <w:p>
      <w:pPr>
        <w:pStyle w:val="ListBullet"/>
      </w:pPr>
      <w:r>
        <w:t>Explain complex topics in approachable language.</w:t>
      </w:r>
    </w:p>
    <w:p>
      <w:pPr>
        <w:pStyle w:val="ListBullet"/>
      </w:pPr>
      <w:r>
        <w:t>Encourage curiosity and lifelong learning.</w:t>
      </w:r>
    </w:p>
    <w:p>
      <w:pPr>
        <w:pStyle w:val="ListBullet"/>
      </w:pPr>
      <w:r>
        <w:t>Recognize and credit community expertise.</w:t>
      </w:r>
    </w:p>
    <w:p>
      <w:pPr>
        <w:pStyle w:val="Heading1"/>
      </w:pPr>
      <w:r>
        <w:t>Conflict Resolution</w:t>
      </w:r>
    </w:p>
    <w:p>
      <w:r>
        <w:t>Disagreements are handled respectfully through evidence, documentation, and education. The Keepers never humiliate collectors for honest mistakes.</w:t>
      </w:r>
    </w:p>
    <w:p>
      <w:pPr>
        <w:pStyle w:val="Heading1"/>
      </w:pPr>
      <w:r>
        <w:t>Canon Rules</w:t>
      </w:r>
    </w:p>
    <w:p>
      <w:r>
        <w:t>The Collectiverse community is an essential character in the franchise. Stories should regularly demonstrate collaboration between the Keepers and collectors around the world.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collector relations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