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Planning Document</w:t>
        <w:br/>
      </w:r>
      <w:r>
        <w:t>Section: Production Standards</w:t>
      </w:r>
    </w:p>
    <w:p>
      <w:pPr>
        <w:pStyle w:val="Heading1"/>
      </w:pPr>
      <w:r>
        <w:t>Production Philosophy</w:t>
      </w:r>
    </w:p>
    <w:p>
      <w:r>
        <w:t>Every Collectiverse character is intellectual property that represents the values of the franchise. Each character is a complete performance system consisting of appearance, personality, movement, voice, relationships, behavior, and purpose. The objective of Volume 02 is to ensure every approved depiction is immediately recognizable regardless of medium.</w:t>
      </w:r>
    </w:p>
    <w:p>
      <w:pPr>
        <w:pStyle w:val="Heading1"/>
      </w:pPr>
      <w:r>
        <w:t>Character Chapter Structure</w:t>
      </w:r>
    </w:p>
    <w:p>
      <w:pPr>
        <w:pStyle w:val="Heading2"/>
      </w:pPr>
      <w:r>
        <w:t>1. Executive Overview</w:t>
      </w:r>
    </w:p>
    <w:p>
      <w:pPr>
        <w:pStyle w:val="ListBullet"/>
      </w:pPr>
      <w:r>
        <w:t>Character Name</w:t>
      </w:r>
    </w:p>
    <w:p>
      <w:pPr>
        <w:pStyle w:val="ListBullet"/>
      </w:pPr>
      <w:r>
        <w:t>Franchise Role</w:t>
      </w:r>
    </w:p>
    <w:p>
      <w:pPr>
        <w:pStyle w:val="ListBullet"/>
      </w:pPr>
      <w:r>
        <w:t>Alignment</w:t>
      </w:r>
    </w:p>
    <w:p>
      <w:pPr>
        <w:pStyle w:val="ListBullet"/>
      </w:pPr>
      <w:r>
        <w:t>First Appearance</w:t>
      </w:r>
    </w:p>
    <w:p>
      <w:pPr>
        <w:pStyle w:val="ListBullet"/>
      </w:pPr>
      <w:r>
        <w:t>Species</w:t>
      </w:r>
    </w:p>
    <w:p>
      <w:pPr>
        <w:pStyle w:val="ListBullet"/>
      </w:pPr>
      <w:r>
        <w:t>Occupation</w:t>
      </w:r>
    </w:p>
    <w:p>
      <w:pPr>
        <w:pStyle w:val="ListBullet"/>
      </w:pPr>
      <w:r>
        <w:t>Team Affiliation</w:t>
      </w:r>
    </w:p>
    <w:p>
      <w:pPr>
        <w:pStyle w:val="ListBullet"/>
      </w:pPr>
      <w:r>
        <w:t>Primary Color Palette</w:t>
      </w:r>
    </w:p>
    <w:p>
      <w:pPr>
        <w:pStyle w:val="ListBullet"/>
      </w:pPr>
      <w:r>
        <w:t>Signature Object</w:t>
      </w:r>
    </w:p>
    <w:p>
      <w:pPr>
        <w:pStyle w:val="ListBullet"/>
      </w:pPr>
      <w:r>
        <w:t>Signature Ability</w:t>
      </w:r>
    </w:p>
    <w:p>
      <w:pPr>
        <w:pStyle w:val="ListBullet"/>
      </w:pPr>
      <w:r>
        <w:t>Core Personality</w:t>
      </w:r>
    </w:p>
    <w:p>
      <w:pPr>
        <w:pStyle w:val="ListBullet"/>
      </w:pPr>
      <w:r>
        <w:t>Character Tagline</w:t>
      </w:r>
    </w:p>
    <w:p>
      <w:pPr>
        <w:pStyle w:val="Heading2"/>
      </w:pPr>
      <w:r>
        <w:t>2. Design Intent</w:t>
      </w:r>
    </w:p>
    <w:p>
      <w:pPr>
        <w:pStyle w:val="ListBullet"/>
      </w:pPr>
      <w:r>
        <w:t>Original design goals</w:t>
      </w:r>
    </w:p>
    <w:p>
      <w:pPr>
        <w:pStyle w:val="ListBullet"/>
      </w:pPr>
      <w:r>
        <w:t>Creative inspiration</w:t>
      </w:r>
    </w:p>
    <w:p>
      <w:pPr>
        <w:pStyle w:val="ListBullet"/>
      </w:pPr>
      <w:r>
        <w:t>Narrative purpose</w:t>
      </w:r>
    </w:p>
    <w:p>
      <w:pPr>
        <w:pStyle w:val="ListBullet"/>
      </w:pPr>
      <w:r>
        <w:t>Emotional purpose</w:t>
      </w:r>
    </w:p>
    <w:p>
      <w:pPr>
        <w:pStyle w:val="ListBullet"/>
      </w:pPr>
      <w:r>
        <w:t>Audience appeal</w:t>
      </w:r>
    </w:p>
    <w:p>
      <w:pPr>
        <w:pStyle w:val="ListBullet"/>
      </w:pPr>
      <w:r>
        <w:t>Collectibility goals</w:t>
      </w:r>
    </w:p>
    <w:p>
      <w:pPr>
        <w:pStyle w:val="ListBullet"/>
      </w:pPr>
      <w:r>
        <w:t>Brand contribution</w:t>
      </w:r>
    </w:p>
    <w:p>
      <w:pPr>
        <w:pStyle w:val="ListBullet"/>
      </w:pPr>
      <w:r>
        <w:t>Long-term franchise value</w:t>
      </w:r>
    </w:p>
    <w:p>
      <w:pPr>
        <w:pStyle w:val="Heading2"/>
      </w:pPr>
      <w:r>
        <w:t>3. Physical Specifications</w:t>
      </w:r>
    </w:p>
    <w:p>
      <w:pPr>
        <w:pStyle w:val="ListBullet"/>
      </w:pPr>
      <w:r>
        <w:t>Overall silhouette</w:t>
      </w:r>
    </w:p>
    <w:p>
      <w:pPr>
        <w:pStyle w:val="ListBullet"/>
      </w:pPr>
      <w:r>
        <w:t>Height</w:t>
      </w:r>
    </w:p>
    <w:p>
      <w:pPr>
        <w:pStyle w:val="ListBullet"/>
      </w:pPr>
      <w:r>
        <w:t>Width</w:t>
      </w:r>
    </w:p>
    <w:p>
      <w:pPr>
        <w:pStyle w:val="ListBullet"/>
      </w:pPr>
      <w:r>
        <w:t>Proportions</w:t>
      </w:r>
    </w:p>
    <w:p>
      <w:pPr>
        <w:pStyle w:val="ListBullet"/>
      </w:pPr>
      <w:r>
        <w:t>Visual center of gravity</w:t>
      </w:r>
    </w:p>
    <w:p>
      <w:pPr>
        <w:pStyle w:val="ListBullet"/>
      </w:pPr>
      <w:r>
        <w:t>Complete anatomy</w:t>
      </w:r>
    </w:p>
    <w:p>
      <w:pPr>
        <w:pStyle w:val="ListBullet"/>
      </w:pPr>
      <w:r>
        <w:t>Material specifications</w:t>
      </w:r>
    </w:p>
    <w:p>
      <w:pPr>
        <w:pStyle w:val="ListBullet"/>
      </w:pPr>
      <w:r>
        <w:t>Surface finishes</w:t>
      </w:r>
    </w:p>
    <w:p>
      <w:pPr>
        <w:pStyle w:val="ListBullet"/>
      </w:pPr>
      <w:r>
        <w:t>Approved and prohibited variations</w:t>
      </w:r>
    </w:p>
    <w:p>
      <w:pPr>
        <w:pStyle w:val="Heading2"/>
      </w:pPr>
      <w:r>
        <w:t>4. Color Standards</w:t>
      </w:r>
    </w:p>
    <w:p>
      <w:pPr>
        <w:pStyle w:val="ListBullet"/>
      </w:pPr>
      <w:r>
        <w:t>Primary, secondary and accent palettes</w:t>
      </w:r>
    </w:p>
    <w:p>
      <w:pPr>
        <w:pStyle w:val="ListBullet"/>
      </w:pPr>
      <w:r>
        <w:t>HEX</w:t>
      </w:r>
    </w:p>
    <w:p>
      <w:pPr>
        <w:pStyle w:val="ListBullet"/>
      </w:pPr>
      <w:r>
        <w:t>RGB</w:t>
      </w:r>
    </w:p>
    <w:p>
      <w:pPr>
        <w:pStyle w:val="ListBullet"/>
      </w:pPr>
      <w:r>
        <w:t>CMYK</w:t>
      </w:r>
    </w:p>
    <w:p>
      <w:pPr>
        <w:pStyle w:val="ListBullet"/>
      </w:pPr>
      <w:r>
        <w:t>Pantone (where applicable)</w:t>
      </w:r>
    </w:p>
    <w:p>
      <w:pPr>
        <w:pStyle w:val="ListBullet"/>
      </w:pPr>
      <w:r>
        <w:t>Print, digital, merchandise and animation usage rules</w:t>
      </w:r>
    </w:p>
    <w:p>
      <w:pPr>
        <w:pStyle w:val="Heading2"/>
      </w:pPr>
      <w:r>
        <w:t>5. Costume &amp; Equipment</w:t>
      </w:r>
    </w:p>
    <w:p>
      <w:pPr>
        <w:pStyle w:val="ListBullet"/>
      </w:pPr>
      <w:r>
        <w:t>Purpose</w:t>
      </w:r>
    </w:p>
    <w:p>
      <w:pPr>
        <w:pStyle w:val="ListBullet"/>
      </w:pPr>
      <w:r>
        <w:t>Dimensions</w:t>
      </w:r>
    </w:p>
    <w:p>
      <w:pPr>
        <w:pStyle w:val="ListBullet"/>
      </w:pPr>
      <w:r>
        <w:t>Materials</w:t>
      </w:r>
    </w:p>
    <w:p>
      <w:pPr>
        <w:pStyle w:val="ListBullet"/>
      </w:pPr>
      <w:r>
        <w:t>Construction</w:t>
      </w:r>
    </w:p>
    <w:p>
      <w:pPr>
        <w:pStyle w:val="ListBullet"/>
      </w:pPr>
      <w:r>
        <w:t>Placement</w:t>
      </w:r>
    </w:p>
    <w:p>
      <w:pPr>
        <w:pStyle w:val="ListBullet"/>
      </w:pPr>
      <w:r>
        <w:t>Scale</w:t>
      </w:r>
    </w:p>
    <w:p>
      <w:pPr>
        <w:pStyle w:val="ListBullet"/>
      </w:pPr>
      <w:r>
        <w:t>Interaction rules</w:t>
      </w:r>
    </w:p>
    <w:p>
      <w:pPr>
        <w:pStyle w:val="ListBullet"/>
      </w:pPr>
      <w:r>
        <w:t>Story significance</w:t>
      </w:r>
    </w:p>
    <w:p>
      <w:pPr>
        <w:pStyle w:val="ListBullet"/>
      </w:pPr>
      <w:r>
        <w:t>Maintenance</w:t>
      </w:r>
    </w:p>
    <w:p>
      <w:pPr>
        <w:pStyle w:val="ListBullet"/>
      </w:pPr>
      <w:r>
        <w:t>Merchandise standards</w:t>
      </w:r>
    </w:p>
    <w:p>
      <w:pPr>
        <w:pStyle w:val="Heading2"/>
      </w:pPr>
      <w:r>
        <w:t>6. Facial Performance Standards</w:t>
      </w:r>
    </w:p>
    <w:p>
      <w:pPr>
        <w:pStyle w:val="ListBullet"/>
      </w:pPr>
      <w:r>
        <w:t>Neutral</w:t>
      </w:r>
    </w:p>
    <w:p>
      <w:pPr>
        <w:pStyle w:val="ListBullet"/>
      </w:pPr>
      <w:r>
        <w:t>Happy</w:t>
      </w:r>
    </w:p>
    <w:p>
      <w:pPr>
        <w:pStyle w:val="ListBullet"/>
      </w:pPr>
      <w:r>
        <w:t>Excited</w:t>
      </w:r>
    </w:p>
    <w:p>
      <w:pPr>
        <w:pStyle w:val="ListBullet"/>
      </w:pPr>
      <w:r>
        <w:t>Curious</w:t>
      </w:r>
    </w:p>
    <w:p>
      <w:pPr>
        <w:pStyle w:val="ListBullet"/>
      </w:pPr>
      <w:r>
        <w:t>Determined</w:t>
      </w:r>
    </w:p>
    <w:p>
      <w:pPr>
        <w:pStyle w:val="ListBullet"/>
      </w:pPr>
      <w:r>
        <w:t>Confused</w:t>
      </w:r>
    </w:p>
    <w:p>
      <w:pPr>
        <w:pStyle w:val="ListBullet"/>
      </w:pPr>
      <w:r>
        <w:t>Surprised</w:t>
      </w:r>
    </w:p>
    <w:p>
      <w:pPr>
        <w:pStyle w:val="ListBullet"/>
      </w:pPr>
      <w:r>
        <w:t>Angry</w:t>
      </w:r>
    </w:p>
    <w:p>
      <w:pPr>
        <w:pStyle w:val="ListBullet"/>
      </w:pPr>
      <w:r>
        <w:t>Sad</w:t>
      </w:r>
    </w:p>
    <w:p>
      <w:pPr>
        <w:pStyle w:val="ListBullet"/>
      </w:pPr>
      <w:r>
        <w:t>Afraid</w:t>
      </w:r>
    </w:p>
    <w:p>
      <w:pPr>
        <w:pStyle w:val="ListBullet"/>
      </w:pPr>
      <w:r>
        <w:t>Laughing</w:t>
      </w:r>
    </w:p>
    <w:p>
      <w:pPr>
        <w:pStyle w:val="ListBullet"/>
      </w:pPr>
      <w:r>
        <w:t>Celebrating</w:t>
      </w:r>
    </w:p>
    <w:p>
      <w:pPr>
        <w:pStyle w:val="ListBullet"/>
      </w:pPr>
      <w:r>
        <w:t>Eye, mouth, posture and body-language standards</w:t>
      </w:r>
    </w:p>
    <w:p>
      <w:pPr>
        <w:pStyle w:val="Heading2"/>
      </w:pPr>
      <w:r>
        <w:t>7. Movement Standards</w:t>
      </w:r>
    </w:p>
    <w:p>
      <w:pPr>
        <w:pStyle w:val="ListBullet"/>
      </w:pPr>
      <w:r>
        <w:t>Standing</w:t>
      </w:r>
    </w:p>
    <w:p>
      <w:pPr>
        <w:pStyle w:val="ListBullet"/>
      </w:pPr>
      <w:r>
        <w:t>Walking</w:t>
      </w:r>
    </w:p>
    <w:p>
      <w:pPr>
        <w:pStyle w:val="ListBullet"/>
      </w:pPr>
      <w:r>
        <w:t>Running</w:t>
      </w:r>
    </w:p>
    <w:p>
      <w:pPr>
        <w:pStyle w:val="ListBullet"/>
      </w:pPr>
      <w:r>
        <w:t>Jumping</w:t>
      </w:r>
    </w:p>
    <w:p>
      <w:pPr>
        <w:pStyle w:val="ListBullet"/>
      </w:pPr>
      <w:r>
        <w:t>Landing</w:t>
      </w:r>
    </w:p>
    <w:p>
      <w:pPr>
        <w:pStyle w:val="ListBullet"/>
      </w:pPr>
      <w:r>
        <w:t>Turning</w:t>
      </w:r>
    </w:p>
    <w:p>
      <w:pPr>
        <w:pStyle w:val="ListBullet"/>
      </w:pPr>
      <w:r>
        <w:t>Reaching</w:t>
      </w:r>
    </w:p>
    <w:p>
      <w:pPr>
        <w:pStyle w:val="ListBullet"/>
      </w:pPr>
      <w:r>
        <w:t>Carrying</w:t>
      </w:r>
    </w:p>
    <w:p>
      <w:pPr>
        <w:pStyle w:val="ListBullet"/>
      </w:pPr>
      <w:r>
        <w:t>Waving</w:t>
      </w:r>
    </w:p>
    <w:p>
      <w:pPr>
        <w:pStyle w:val="ListBullet"/>
      </w:pPr>
      <w:r>
        <w:t>Pointing</w:t>
      </w:r>
    </w:p>
    <w:p>
      <w:pPr>
        <w:pStyle w:val="ListBullet"/>
      </w:pPr>
      <w:r>
        <w:t>Celebrating</w:t>
      </w:r>
    </w:p>
    <w:p>
      <w:pPr>
        <w:pStyle w:val="ListBullet"/>
      </w:pPr>
      <w:r>
        <w:t>Reaction standards</w:t>
      </w:r>
    </w:p>
    <w:p>
      <w:pPr>
        <w:pStyle w:val="Heading2"/>
      </w:pPr>
      <w:r>
        <w:t>8. Personality &amp; Psychology</w:t>
      </w:r>
    </w:p>
    <w:p>
      <w:pPr>
        <w:pStyle w:val="ListBullet"/>
      </w:pPr>
      <w:r>
        <w:t>Core beliefs</w:t>
      </w:r>
    </w:p>
    <w:p>
      <w:pPr>
        <w:pStyle w:val="ListBullet"/>
      </w:pPr>
      <w:r>
        <w:t>Motivations</w:t>
      </w:r>
    </w:p>
    <w:p>
      <w:pPr>
        <w:pStyle w:val="ListBullet"/>
      </w:pPr>
      <w:r>
        <w:t>Goals</w:t>
      </w:r>
    </w:p>
    <w:p>
      <w:pPr>
        <w:pStyle w:val="ListBullet"/>
      </w:pPr>
      <w:r>
        <w:t>Strengths</w:t>
      </w:r>
    </w:p>
    <w:p>
      <w:pPr>
        <w:pStyle w:val="ListBullet"/>
      </w:pPr>
      <w:r>
        <w:t>Weaknesses</w:t>
      </w:r>
    </w:p>
    <w:p>
      <w:pPr>
        <w:pStyle w:val="ListBullet"/>
      </w:pPr>
      <w:r>
        <w:t>Fears</w:t>
      </w:r>
    </w:p>
    <w:p>
      <w:pPr>
        <w:pStyle w:val="ListBullet"/>
      </w:pPr>
      <w:r>
        <w:t>Leadership style</w:t>
      </w:r>
    </w:p>
    <w:p>
      <w:pPr>
        <w:pStyle w:val="ListBullet"/>
      </w:pPr>
      <w:r>
        <w:t>Communication style</w:t>
      </w:r>
    </w:p>
    <w:p>
      <w:pPr>
        <w:pStyle w:val="ListBullet"/>
      </w:pPr>
      <w:r>
        <w:t>Humor style</w:t>
      </w:r>
    </w:p>
    <w:p>
      <w:pPr>
        <w:pStyle w:val="ListBullet"/>
      </w:pPr>
      <w:r>
        <w:t>Conflict style</w:t>
      </w:r>
    </w:p>
    <w:p>
      <w:pPr>
        <w:pStyle w:val="ListBullet"/>
      </w:pPr>
      <w:r>
        <w:t>Moral boundaries</w:t>
      </w:r>
    </w:p>
    <w:p>
      <w:pPr>
        <w:pStyle w:val="Heading1"/>
      </w:pPr>
      <w:r>
        <w:t>Production Rule</w:t>
      </w:r>
    </w:p>
    <w:p>
      <w:r>
        <w:t>Every chapter in the Character Bible is a production standard rather than a descriptive reference. If future artwork, animation, stories, games, merchandise, or licensed products conflict with these specifications, the Character Bible is the governing authority unless superseded by an officially approved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