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FORGE Character Master Specification</w:t>
        <w:br/>
      </w:r>
      <w:r>
        <w:t>Part 08: Licensing, Merchandise, Manufacturing &amp; Brand Protection Standards</w:t>
      </w:r>
    </w:p>
    <w:p>
      <w:pPr>
        <w:pStyle w:val="Heading1"/>
      </w:pPr>
      <w:r>
        <w:t>Purpose</w:t>
      </w:r>
    </w:p>
    <w:p>
      <w:r>
        <w:t>This document establishes the canonical standards governing the licensing, merchandising, manufacturing, quality assurance, and brand protection of FORGE. Every licensed product must preserve his identity as the Keepers' master builder, engineer, and restoration specialist.</w:t>
      </w:r>
    </w:p>
    <w:p>
      <w:pPr>
        <w:pStyle w:val="Heading1"/>
      </w:pPr>
      <w:r>
        <w:t>Approved Merchandise Categories</w:t>
      </w:r>
    </w:p>
    <w:p>
      <w:pPr>
        <w:pStyle w:val="ListBullet"/>
      </w:pPr>
      <w:r>
        <w:t>Premium PVC, resin, vinyl, and articulated figures</w:t>
      </w:r>
    </w:p>
    <w:p>
      <w:pPr>
        <w:pStyle w:val="ListBullet"/>
      </w:pPr>
      <w:r>
        <w:t>Plush toys and designer collectibles</w:t>
      </w:r>
    </w:p>
    <w:p>
      <w:pPr>
        <w:pStyle w:val="ListBullet"/>
      </w:pPr>
      <w:r>
        <w:t>Trading cards and promotional cards</w:t>
      </w:r>
    </w:p>
    <w:p>
      <w:pPr>
        <w:pStyle w:val="ListBullet"/>
      </w:pPr>
      <w:r>
        <w:t>Apparel, hats, aprons, and workshop-themed accessories</w:t>
      </w:r>
    </w:p>
    <w:p>
      <w:pPr>
        <w:pStyle w:val="ListBullet"/>
      </w:pPr>
      <w:r>
        <w:t>Books, comics, educational kits, and stationery</w:t>
      </w:r>
    </w:p>
    <w:p>
      <w:pPr>
        <w:pStyle w:val="ListBullet"/>
      </w:pPr>
      <w:r>
        <w:t>Pins, patches, challenge coins, and display pieces</w:t>
      </w:r>
    </w:p>
    <w:p>
      <w:pPr>
        <w:pStyle w:val="ListBullet"/>
      </w:pPr>
      <w:r>
        <w:t>Digital avatars, game cosmetics, and collectible NFTs where officially authorized</w:t>
      </w:r>
    </w:p>
    <w:p>
      <w:pPr>
        <w:pStyle w:val="Heading1"/>
      </w:pPr>
      <w:r>
        <w:t>Visual Brand Standards</w:t>
      </w:r>
    </w:p>
    <w:p>
      <w:pPr>
        <w:pStyle w:val="ListBullet"/>
      </w:pPr>
      <w:r>
        <w:t>Mechanical right arm must always use the approved handcrafted copper/bronze design.</w:t>
      </w:r>
    </w:p>
    <w:p>
      <w:pPr>
        <w:pStyle w:val="ListBullet"/>
      </w:pPr>
      <w:r>
        <w:t>Leather apron, tool belt, goggles, and Collectiverse badge are required unless a canon-approved variant is used.</w:t>
      </w:r>
    </w:p>
    <w:p>
      <w:pPr>
        <w:pStyle w:val="ListBullet"/>
      </w:pPr>
      <w:r>
        <w:t>Massive chibi proportions and warm expression must always be preserved.</w:t>
      </w:r>
    </w:p>
    <w:p>
      <w:pPr>
        <w:pStyle w:val="ListBullet"/>
      </w:pPr>
      <w:r>
        <w:t>Visual language should emphasize craftsmanship, restoration, and protection rather than combat.</w:t>
      </w:r>
    </w:p>
    <w:p>
      <w:pPr>
        <w:pStyle w:val="Heading1"/>
      </w:pPr>
      <w:r>
        <w:t>Manufacturing Standards</w:t>
      </w:r>
    </w:p>
    <w:p>
      <w:r>
        <w:t>All products shall be manufactured from approved production masters and validated against the official Character Master Specification before release.</w:t>
      </w:r>
    </w:p>
    <w:p>
      <w:pPr>
        <w:pStyle w:val="ListBullet"/>
      </w:pPr>
      <w:r>
        <w:t>Maintain silhouette consistency across all scales.</w:t>
      </w:r>
    </w:p>
    <w:p>
      <w:pPr>
        <w:pStyle w:val="ListBullet"/>
      </w:pPr>
      <w:r>
        <w:t>Preserve recognizable mechanical arm details on simplified products.</w:t>
      </w:r>
    </w:p>
    <w:p>
      <w:pPr>
        <w:pStyle w:val="ListBullet"/>
      </w:pPr>
      <w:r>
        <w:t>Use durable metallic finishes for engineered components.</w:t>
      </w:r>
    </w:p>
    <w:p>
      <w:pPr>
        <w:pStyle w:val="ListBullet"/>
      </w:pPr>
      <w:r>
        <w:t>Verify wardrobe, badge, and tool placement during quality assurance.</w:t>
      </w:r>
    </w:p>
    <w:p>
      <w:pPr>
        <w:pStyle w:val="Heading1"/>
      </w:pPr>
      <w:r>
        <w:t>Brand Protection</w:t>
      </w:r>
    </w:p>
    <w:p>
      <w:pPr>
        <w:pStyle w:val="ListBullet"/>
      </w:pPr>
      <w:r>
        <w:t>No unauthorized redesigns of the mechanical arm.</w:t>
      </w:r>
    </w:p>
    <w:p>
      <w:pPr>
        <w:pStyle w:val="ListBullet"/>
      </w:pPr>
      <w:r>
        <w:t>No military or weapon-focused reinterpretations.</w:t>
      </w:r>
    </w:p>
    <w:p>
      <w:pPr>
        <w:pStyle w:val="ListBullet"/>
      </w:pPr>
      <w:r>
        <w:t>No marketing that promotes destructive restoration or unethical collecting.</w:t>
      </w:r>
    </w:p>
    <w:p>
      <w:pPr>
        <w:pStyle w:val="ListBullet"/>
      </w:pPr>
      <w:r>
        <w:t>All licensed products must reinforce Collectiverse's educational and preservation-focused mission.</w:t>
      </w:r>
    </w:p>
    <w:p>
      <w:pPr>
        <w:pStyle w:val="Heading1"/>
      </w:pPr>
      <w:r>
        <w:t>Licensing Workflow</w:t>
      </w:r>
    </w:p>
    <w:tbl>
      <w:tblPr>
        <w:tblStyle w:val="TableGrid"/>
        <w:tblW w:type="auto" w:w="0"/>
        <w:tblLook w:firstColumn="1" w:firstRow="1" w:lastColumn="0" w:lastRow="0" w:noHBand="0" w:noVBand="1" w:val="04A0"/>
      </w:tblPr>
      <w:tblGrid>
        <w:gridCol w:w="4320"/>
        <w:gridCol w:w="4320"/>
      </w:tblGrid>
      <w:tr>
        <w:tc>
          <w:tcPr>
            <w:tcW w:type="dxa" w:w="4320"/>
          </w:tcPr>
          <w:p>
            <w:r>
              <w:t>Stage</w:t>
            </w:r>
          </w:p>
        </w:tc>
        <w:tc>
          <w:tcPr>
            <w:tcW w:type="dxa" w:w="4320"/>
          </w:tcPr>
          <w:p>
            <w:r>
              <w:t>Requirement</w:t>
            </w:r>
          </w:p>
        </w:tc>
      </w:tr>
      <w:tr>
        <w:tc>
          <w:tcPr>
            <w:tcW w:type="dxa" w:w="4320"/>
          </w:tcPr>
          <w:p>
            <w:r>
              <w:t>Concept Approval</w:t>
            </w:r>
          </w:p>
        </w:tc>
        <w:tc>
          <w:tcPr>
            <w:tcW w:type="dxa" w:w="4320"/>
          </w:tcPr>
          <w:p>
            <w:r>
              <w:t>Creative review for canonical compliance.</w:t>
            </w:r>
          </w:p>
        </w:tc>
      </w:tr>
      <w:tr>
        <w:tc>
          <w:tcPr>
            <w:tcW w:type="dxa" w:w="4320"/>
          </w:tcPr>
          <w:p>
            <w:r>
              <w:t>Design Approval</w:t>
            </w:r>
          </w:p>
        </w:tc>
        <w:tc>
          <w:tcPr>
            <w:tcW w:type="dxa" w:w="4320"/>
          </w:tcPr>
          <w:p>
            <w:r>
              <w:t>Artwork, sculpt, or digital assets approved.</w:t>
            </w:r>
          </w:p>
        </w:tc>
      </w:tr>
      <w:tr>
        <w:tc>
          <w:tcPr>
            <w:tcW w:type="dxa" w:w="4320"/>
          </w:tcPr>
          <w:p>
            <w:r>
              <w:t>Prototype Review</w:t>
            </w:r>
          </w:p>
        </w:tc>
        <w:tc>
          <w:tcPr>
            <w:tcW w:type="dxa" w:w="4320"/>
          </w:tcPr>
          <w:p>
            <w:r>
              <w:t>Prototype evaluated against production standards.</w:t>
            </w:r>
          </w:p>
        </w:tc>
      </w:tr>
      <w:tr>
        <w:tc>
          <w:tcPr>
            <w:tcW w:type="dxa" w:w="4320"/>
          </w:tcPr>
          <w:p>
            <w:r>
              <w:t>Production QA</w:t>
            </w:r>
          </w:p>
        </w:tc>
        <w:tc>
          <w:tcPr>
            <w:tcW w:type="dxa" w:w="4320"/>
          </w:tcPr>
          <w:p>
            <w:r>
              <w:t>Manufacturing quality and consistency verified.</w:t>
            </w:r>
          </w:p>
        </w:tc>
      </w:tr>
      <w:tr>
        <w:tc>
          <w:tcPr>
            <w:tcW w:type="dxa" w:w="4320"/>
          </w:tcPr>
          <w:p>
            <w:r>
              <w:t>Final Authorization</w:t>
            </w:r>
          </w:p>
        </w:tc>
        <w:tc>
          <w:tcPr>
            <w:tcW w:type="dxa" w:w="4320"/>
          </w:tcPr>
          <w:p>
            <w:r>
              <w:t>Collectiverse Studios approval before commercial release.</w:t>
            </w:r>
          </w:p>
        </w:tc>
      </w:tr>
    </w:tbl>
    <w:p>
      <w:pPr>
        <w:pStyle w:val="Heading1"/>
      </w:pPr>
      <w:r>
        <w:t>Canon Lock</w:t>
      </w:r>
    </w:p>
    <w:p>
      <w:r>
        <w:t>These licensing, merchandising, manufacturing, and brand protection standards are canonical. Every official FORGE product must preserve his recognizable appearance, ethical craftsmanship, and educational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