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09: Voice, Dialogue, Audio Identity &amp; Performance Direction</w:t>
      </w:r>
    </w:p>
    <w:p>
      <w:pPr>
        <w:pStyle w:val="Heading1"/>
      </w:pPr>
      <w:r>
        <w:t>Purpose</w:t>
      </w:r>
    </w:p>
    <w:p>
      <w:r>
        <w:t>This section establishes INK's official vocal identity, dialogue style, audio design, and performance direction for animation, games, publishing, interactive experiences, and localized productions. These standards ensure that INK sounds immediately recognizable regardless of performer or language.</w:t>
      </w:r>
    </w:p>
    <w:p>
      <w:pPr>
        <w:pStyle w:val="Heading1"/>
      </w:pPr>
      <w:r>
        <w:t>Voice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Standard</w:t>
            </w:r>
          </w:p>
        </w:tc>
      </w:tr>
      <w:tr>
        <w:tc>
          <w:tcPr>
            <w:tcW w:type="dxa" w:w="4320"/>
          </w:tcPr>
          <w:p>
            <w:r>
              <w:t>Overall Tone</w:t>
            </w:r>
          </w:p>
        </w:tc>
        <w:tc>
          <w:tcPr>
            <w:tcW w:type="dxa" w:w="4320"/>
          </w:tcPr>
          <w:p>
            <w:r>
              <w:t>Calm, warm, thoughtful, and reassuring</w:t>
            </w:r>
          </w:p>
        </w:tc>
      </w:tr>
      <w:tr>
        <w:tc>
          <w:tcPr>
            <w:tcW w:type="dxa" w:w="4320"/>
          </w:tcPr>
          <w:p>
            <w:r>
              <w:t>Age Impression</w:t>
            </w:r>
          </w:p>
        </w:tc>
        <w:tc>
          <w:tcPr>
            <w:tcW w:type="dxa" w:w="4320"/>
          </w:tcPr>
          <w:p>
            <w:r>
              <w:t>Experienced scholar with timeless wisdom</w:t>
            </w:r>
          </w:p>
        </w:tc>
      </w:tr>
      <w:tr>
        <w:tc>
          <w:tcPr>
            <w:tcW w:type="dxa" w:w="4320"/>
          </w:tcPr>
          <w:p>
            <w:r>
              <w:t>Speech Pace</w:t>
            </w:r>
          </w:p>
        </w:tc>
        <w:tc>
          <w:tcPr>
            <w:tcW w:type="dxa" w:w="4320"/>
          </w:tcPr>
          <w:p>
            <w:r>
              <w:t>Measured and deliberate without sounding slow</w:t>
            </w:r>
          </w:p>
        </w:tc>
      </w:tr>
      <w:tr>
        <w:tc>
          <w:tcPr>
            <w:tcW w:type="dxa" w:w="4320"/>
          </w:tcPr>
          <w:p>
            <w:r>
              <w:t>Vocabulary</w:t>
            </w:r>
          </w:p>
        </w:tc>
        <w:tc>
          <w:tcPr>
            <w:tcW w:type="dxa" w:w="4320"/>
          </w:tcPr>
          <w:p>
            <w:r>
              <w:t>Clear, precise, educational, and approachable</w:t>
            </w:r>
          </w:p>
        </w:tc>
      </w:tr>
      <w:tr>
        <w:tc>
          <w:tcPr>
            <w:tcW w:type="dxa" w:w="4320"/>
          </w:tcPr>
          <w:p>
            <w:r>
              <w:t>Humor</w:t>
            </w:r>
          </w:p>
        </w:tc>
        <w:tc>
          <w:tcPr>
            <w:tcW w:type="dxa" w:w="4320"/>
          </w:tcPr>
          <w:p>
            <w:r>
              <w:t>Gentle wit, clever observations, and quiet charm</w:t>
            </w:r>
          </w:p>
        </w:tc>
      </w:tr>
      <w:tr>
        <w:tc>
          <w:tcPr>
            <w:tcW w:type="dxa" w:w="4320"/>
          </w:tcPr>
          <w:p>
            <w:r>
              <w:t>Authority</w:t>
            </w:r>
          </w:p>
        </w:tc>
        <w:tc>
          <w:tcPr>
            <w:tcW w:type="dxa" w:w="4320"/>
          </w:tcPr>
          <w:p>
            <w:r>
              <w:t>Earned through knowledge, humility, and evidence</w:t>
            </w:r>
          </w:p>
        </w:tc>
      </w:tr>
      <w:tr>
        <w:tc>
          <w:tcPr>
            <w:tcW w:type="dxa" w:w="4320"/>
          </w:tcPr>
          <w:p>
            <w:r>
              <w:t>Emotional Range</w:t>
            </w:r>
          </w:p>
        </w:tc>
        <w:tc>
          <w:tcPr>
            <w:tcW w:type="dxa" w:w="4320"/>
          </w:tcPr>
          <w:p>
            <w:r>
              <w:t>Curious, reflective, compassionate, inspired</w:t>
            </w:r>
          </w:p>
        </w:tc>
      </w:tr>
    </w:tbl>
    <w:p>
      <w:pPr>
        <w:pStyle w:val="Heading1"/>
      </w:pPr>
      <w:r>
        <w:t>Dialogue Principles</w:t>
      </w:r>
    </w:p>
    <w:p>
      <w:pPr>
        <w:pStyle w:val="ListBullet"/>
      </w:pPr>
      <w:r>
        <w:t>Tell stories that make history engaging and memorable.</w:t>
      </w:r>
    </w:p>
    <w:p>
      <w:pPr>
        <w:pStyle w:val="ListBullet"/>
      </w:pPr>
      <w:r>
        <w:t>Differentiate verified facts from theories or possibilities.</w:t>
      </w:r>
    </w:p>
    <w:p>
      <w:pPr>
        <w:pStyle w:val="ListBullet"/>
      </w:pPr>
      <w:r>
        <w:t>Encourage questions and lifelong curiosity.</w:t>
      </w:r>
    </w:p>
    <w:p>
      <w:pPr>
        <w:pStyle w:val="ListBullet"/>
      </w:pPr>
      <w:r>
        <w:t>Credit creators, collectors, historians, and original sources whenever appropriate.</w:t>
      </w:r>
    </w:p>
    <w:p>
      <w:pPr>
        <w:pStyle w:val="ListBullet"/>
      </w:pPr>
      <w:r>
        <w:t>Use knowledge to unite people rather than impress them.</w:t>
      </w:r>
    </w:p>
    <w:p>
      <w:pPr>
        <w:pStyle w:val="Heading1"/>
      </w:pPr>
      <w:r>
        <w:t>Signature Communication Traits</w:t>
      </w:r>
    </w:p>
    <w:p>
      <w:pPr>
        <w:pStyle w:val="ListBullet"/>
      </w:pPr>
      <w:r>
        <w:t>Frequently begins explanations with historical context.</w:t>
      </w:r>
    </w:p>
    <w:p>
      <w:pPr>
        <w:pStyle w:val="ListBullet"/>
      </w:pPr>
      <w:r>
        <w:t>Uses vivid but accessible storytelling.</w:t>
      </w:r>
    </w:p>
    <w:p>
      <w:pPr>
        <w:pStyle w:val="ListBullet"/>
      </w:pPr>
      <w:r>
        <w:t>Invites listeners to imagine the people behind each collectible.</w:t>
      </w:r>
    </w:p>
    <w:p>
      <w:pPr>
        <w:pStyle w:val="ListBullet"/>
      </w:pPr>
      <w:r>
        <w:t>Celebrates preservation over possession.</w:t>
      </w:r>
    </w:p>
    <w:p>
      <w:pPr>
        <w:pStyle w:val="ListBullet"/>
      </w:pPr>
      <w:r>
        <w:t>Ends many stories with a thoughtful insight or lesson.</w:t>
      </w:r>
    </w:p>
    <w:p>
      <w:pPr>
        <w:pStyle w:val="Heading1"/>
      </w:pPr>
      <w:r>
        <w:t>Audio Identity</w:t>
      </w:r>
    </w:p>
    <w:p>
      <w:r>
        <w:t>INK's signature audio palette should include the soft sound of quill strokes, turning pages, parchment movement, subtle feather rustling, and gentle magical writing effects. Musical themes should emphasize wonder, discovery, and history rather than mystery or suspense.</w:t>
      </w:r>
    </w:p>
    <w:p>
      <w:pPr>
        <w:pStyle w:val="Heading1"/>
      </w:pPr>
      <w:r>
        <w:t>Localization Standards</w:t>
      </w:r>
    </w:p>
    <w:p>
      <w:pPr>
        <w:pStyle w:val="ListBullet"/>
      </w:pPr>
      <w:r>
        <w:t>Preserve INK's thoughtful, welcoming personality in every language.</w:t>
      </w:r>
    </w:p>
    <w:p>
      <w:pPr>
        <w:pStyle w:val="ListBullet"/>
      </w:pPr>
      <w:r>
        <w:t>Adapt historical references where appropriate while maintaining educational value.</w:t>
      </w:r>
    </w:p>
    <w:p>
      <w:pPr>
        <w:pStyle w:val="ListBullet"/>
      </w:pPr>
      <w:r>
        <w:t>Avoid slang that may quickly become dated.</w:t>
      </w:r>
    </w:p>
    <w:p>
      <w:pPr>
        <w:pStyle w:val="ListBullet"/>
      </w:pPr>
      <w:r>
        <w:t>Maintain family-friendly dialogue suitable for audiences worldwide.</w:t>
      </w:r>
    </w:p>
    <w:p>
      <w:pPr>
        <w:pStyle w:val="Heading1"/>
      </w:pPr>
      <w:r>
        <w:t>Performance Direction</w:t>
      </w:r>
    </w:p>
    <w:p>
      <w:r>
        <w:t>Performers should portray INK as a trusted mentor who teaches through stories instead of lectures. His confidence comes from knowledge and experience, not superiority. Even during conflict, he remains patient, respectful, and focused on preserving truth.</w:t>
      </w:r>
    </w:p>
    <w:p>
      <w:pPr>
        <w:pStyle w:val="Heading1"/>
      </w:pPr>
      <w:r>
        <w:t>Canon Lock</w:t>
      </w:r>
    </w:p>
    <w:p>
      <w:r>
        <w:t>INK's voice profile, dialogue style, audio identity, and performance direction are canonical. Future productions may expand his experiences but must preserve his identity as the calm, trustworthy storyteller of Collectiverse.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