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Pixel Character Master Specification</w:t>
        <w:br/>
      </w:r>
      <w:r>
        <w:t>Part 09: Voice, Dialogue, Audio Identity &amp; Performance Direction</w:t>
      </w:r>
    </w:p>
    <w:p>
      <w:pPr>
        <w:pStyle w:val="Heading1"/>
      </w:pPr>
      <w:r>
        <w:t>Purpose</w:t>
      </w:r>
    </w:p>
    <w:p>
      <w:r>
        <w:t>This section establishes Pixel's official vocal identity, dialogue style, audio design, and performance direction for animation, games, interactive media, live experiences, and localized productions. These standards ensure that Pixel sounds recognizable and consistent regardless of performer or language.</w:t>
      </w:r>
    </w:p>
    <w:p>
      <w:pPr>
        <w:pStyle w:val="Heading1"/>
      </w:pPr>
      <w:r>
        <w:t>Voice Profile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Canonical Standard</w:t>
            </w:r>
          </w:p>
        </w:tc>
      </w:tr>
      <w:tr>
        <w:tc>
          <w:tcPr>
            <w:tcW w:type="dxa" w:w="4320"/>
          </w:tcPr>
          <w:p>
            <w:r>
              <w:t>Overall Tone</w:t>
            </w:r>
          </w:p>
        </w:tc>
        <w:tc>
          <w:tcPr>
            <w:tcW w:type="dxa" w:w="4320"/>
          </w:tcPr>
          <w:p>
            <w:r>
              <w:t>Bright, intelligent, energetic, and encouraging</w:t>
            </w:r>
          </w:p>
        </w:tc>
      </w:tr>
      <w:tr>
        <w:tc>
          <w:tcPr>
            <w:tcW w:type="dxa" w:w="4320"/>
          </w:tcPr>
          <w:p>
            <w:r>
              <w:t>Age Impression</w:t>
            </w:r>
          </w:p>
        </w:tc>
        <w:tc>
          <w:tcPr>
            <w:tcW w:type="dxa" w:w="4320"/>
          </w:tcPr>
          <w:p>
            <w:r>
              <w:t>Young adult explorer with confidence</w:t>
            </w:r>
          </w:p>
        </w:tc>
      </w:tr>
      <w:tr>
        <w:tc>
          <w:tcPr>
            <w:tcW w:type="dxa" w:w="4320"/>
          </w:tcPr>
          <w:p>
            <w:r>
              <w:t>Speech Pace</w:t>
            </w:r>
          </w:p>
        </w:tc>
        <w:tc>
          <w:tcPr>
            <w:tcW w:type="dxa" w:w="4320"/>
          </w:tcPr>
          <w:p>
            <w:r>
              <w:t>Quick but articulate</w:t>
            </w:r>
          </w:p>
        </w:tc>
      </w:tr>
      <w:tr>
        <w:tc>
          <w:tcPr>
            <w:tcW w:type="dxa" w:w="4320"/>
          </w:tcPr>
          <w:p>
            <w:r>
              <w:t>Vocabulary</w:t>
            </w:r>
          </w:p>
        </w:tc>
        <w:tc>
          <w:tcPr>
            <w:tcW w:type="dxa" w:w="4320"/>
          </w:tcPr>
          <w:p>
            <w:r>
              <w:t>Accessible, precise, investigative</w:t>
            </w:r>
          </w:p>
        </w:tc>
      </w:tr>
      <w:tr>
        <w:tc>
          <w:tcPr>
            <w:tcW w:type="dxa" w:w="4320"/>
          </w:tcPr>
          <w:p>
            <w:r>
              <w:t>Humor</w:t>
            </w:r>
          </w:p>
        </w:tc>
        <w:tc>
          <w:tcPr>
            <w:tcW w:type="dxa" w:w="4320"/>
          </w:tcPr>
          <w:p>
            <w:r>
              <w:t>Playful curiosity and light observational wit</w:t>
            </w:r>
          </w:p>
        </w:tc>
      </w:tr>
      <w:tr>
        <w:tc>
          <w:tcPr>
            <w:tcW w:type="dxa" w:w="4320"/>
          </w:tcPr>
          <w:p>
            <w:r>
              <w:t>Authority</w:t>
            </w:r>
          </w:p>
        </w:tc>
        <w:tc>
          <w:tcPr>
            <w:tcW w:type="dxa" w:w="4320"/>
          </w:tcPr>
          <w:p>
            <w:r>
              <w:t>Earned through evidence and expertise</w:t>
            </w:r>
          </w:p>
        </w:tc>
      </w:tr>
      <w:tr>
        <w:tc>
          <w:tcPr>
            <w:tcW w:type="dxa" w:w="4320"/>
          </w:tcPr>
          <w:p>
            <w:r>
              <w:t>Emotional Range</w:t>
            </w:r>
          </w:p>
        </w:tc>
        <w:tc>
          <w:tcPr>
            <w:tcW w:type="dxa" w:w="4320"/>
          </w:tcPr>
          <w:p>
            <w:r>
              <w:t>Curious, excited, focused, compassionate</w:t>
            </w:r>
          </w:p>
        </w:tc>
      </w:tr>
    </w:tbl>
    <w:p>
      <w:pPr>
        <w:pStyle w:val="Heading1"/>
      </w:pPr>
      <w:r>
        <w:t>Dialogue Principles</w:t>
      </w:r>
    </w:p>
    <w:p>
      <w:pPr>
        <w:pStyle w:val="ListBullet"/>
      </w:pPr>
      <w:r>
        <w:t>Lead conversations with thoughtful questions.</w:t>
      </w:r>
    </w:p>
    <w:p>
      <w:pPr>
        <w:pStyle w:val="ListBullet"/>
      </w:pPr>
      <w:r>
        <w:t>Explain discoveries using clear, evidence-based language.</w:t>
      </w:r>
    </w:p>
    <w:p>
      <w:pPr>
        <w:pStyle w:val="ListBullet"/>
      </w:pPr>
      <w:r>
        <w:t>Invite teammates and the audience to participate.</w:t>
      </w:r>
    </w:p>
    <w:p>
      <w:pPr>
        <w:pStyle w:val="ListBullet"/>
      </w:pPr>
      <w:r>
        <w:t>Remain optimistic even when evidence is incomplete.</w:t>
      </w:r>
    </w:p>
    <w:p>
      <w:pPr>
        <w:pStyle w:val="ListBullet"/>
      </w:pPr>
      <w:r>
        <w:t>Never exaggerate conclusions beyond what facts support.</w:t>
      </w:r>
    </w:p>
    <w:p>
      <w:pPr>
        <w:pStyle w:val="Heading1"/>
      </w:pPr>
      <w:r>
        <w:t>Signature Communication Traits</w:t>
      </w:r>
    </w:p>
    <w:p>
      <w:pPr>
        <w:pStyle w:val="ListBullet"/>
      </w:pPr>
      <w:r>
        <w:t>Frequently notices overlooked details.</w:t>
      </w:r>
    </w:p>
    <w:p>
      <w:pPr>
        <w:pStyle w:val="ListBullet"/>
      </w:pPr>
      <w:r>
        <w:t>Expresses excitement when solving puzzles.</w:t>
      </w:r>
    </w:p>
    <w:p>
      <w:pPr>
        <w:pStyle w:val="ListBullet"/>
      </w:pPr>
      <w:r>
        <w:t>Credits teammates who contribute to investigations.</w:t>
      </w:r>
    </w:p>
    <w:p>
      <w:pPr>
        <w:pStyle w:val="ListBullet"/>
      </w:pPr>
      <w:r>
        <w:t>Encourages verification before accepting claims.</w:t>
      </w:r>
    </w:p>
    <w:p>
      <w:pPr>
        <w:pStyle w:val="ListBullet"/>
      </w:pPr>
      <w:r>
        <w:t>Celebrates learning as much as successful outcomes.</w:t>
      </w:r>
    </w:p>
    <w:p>
      <w:pPr>
        <w:pStyle w:val="Heading1"/>
      </w:pPr>
      <w:r>
        <w:t>Audio Identity</w:t>
      </w:r>
    </w:p>
    <w:p>
      <w:r>
        <w:t>Scanner activations should use clean, futuristic tones with subtle layered electronic textures. Footsteps remain light and agile. Interface sounds reinforce investigation and discovery without distracting from dialogue.</w:t>
      </w:r>
    </w:p>
    <w:p>
      <w:pPr>
        <w:pStyle w:val="Heading1"/>
      </w:pPr>
      <w:r>
        <w:t>Localization Standards</w:t>
      </w:r>
    </w:p>
    <w:p>
      <w:pPr>
        <w:pStyle w:val="ListBullet"/>
      </w:pPr>
      <w:r>
        <w:t>Preserve Pixel's curiosity and intelligence in every language.</w:t>
      </w:r>
    </w:p>
    <w:p>
      <w:pPr>
        <w:pStyle w:val="ListBullet"/>
      </w:pPr>
      <w:r>
        <w:t>Adapt idioms while retaining investigative intent.</w:t>
      </w:r>
    </w:p>
    <w:p>
      <w:pPr>
        <w:pStyle w:val="ListBullet"/>
      </w:pPr>
      <w:r>
        <w:t>Maintain family-friendly, globally accessible dialogue.</w:t>
      </w:r>
    </w:p>
    <w:p>
      <w:pPr>
        <w:pStyle w:val="ListBullet"/>
      </w:pPr>
      <w:r>
        <w:t>Avoid slang that weakens clarity or longevity.</w:t>
      </w:r>
    </w:p>
    <w:p>
      <w:pPr>
        <w:pStyle w:val="Heading1"/>
      </w:pPr>
      <w:r>
        <w:t>Performance Direction</w:t>
      </w:r>
    </w:p>
    <w:p>
      <w:r>
        <w:t>Performers should portray Pixel as observant, enthusiastic, and quietly confident. Even during high-pressure scenes she remains analytical, collaborative, and encouraging rather than impulsive or reckless.</w:t>
      </w:r>
    </w:p>
    <w:p>
      <w:pPr>
        <w:pStyle w:val="Heading1"/>
      </w:pPr>
      <w:r>
        <w:t>Canon Lock</w:t>
      </w:r>
    </w:p>
    <w:p>
      <w:r>
        <w:t>Pixel's vocal personality, dialogue style, and audio identity are canonical. Any substantial change requires formal approval through the Collectiverse Studio character governance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