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PORTER Character Master Specification</w:t>
        <w:br/>
      </w:r>
      <w:r>
        <w:t>Part 08: Licensing, Merchandise, Manufacturing &amp; Brand Protection Standards</w:t>
      </w:r>
    </w:p>
    <w:p>
      <w:pPr>
        <w:pStyle w:val="Heading1"/>
      </w:pPr>
      <w:r>
        <w:t>Purpose</w:t>
      </w:r>
    </w:p>
    <w:p>
      <w:r>
        <w:t>This document establishes the canonical standards governing PORTER's licensed products, manufacturing requirements, brand consistency, intellectual property usage, and quality assurance across all official Collectiverse merchandise.</w:t>
      </w:r>
    </w:p>
    <w:p>
      <w:pPr>
        <w:pStyle w:val="Heading1"/>
      </w:pPr>
      <w:r>
        <w:t>Licensing Standards</w:t>
      </w:r>
    </w:p>
    <w:p>
      <w:pPr>
        <w:pStyle w:val="ListBullet"/>
      </w:pPr>
      <w:r>
        <w:t>All licensed depictions must use the approved Character Master Specification.</w:t>
      </w:r>
    </w:p>
    <w:p>
      <w:pPr>
        <w:pStyle w:val="ListBullet"/>
      </w:pPr>
      <w:r>
        <w:t>PORTER must always be represented as a guardian and protector.</w:t>
      </w:r>
    </w:p>
    <w:p>
      <w:pPr>
        <w:pStyle w:val="ListBullet"/>
      </w:pPr>
      <w:r>
        <w:t>Licensees may not alter canonical colors, proportions, equipment, or personality without written approval.</w:t>
      </w:r>
    </w:p>
    <w:p>
      <w:pPr>
        <w:pStyle w:val="ListBullet"/>
      </w:pPr>
      <w:r>
        <w:t>The Collectiverse badge and trademarks must remain accurate.</w:t>
      </w:r>
    </w:p>
    <w:p>
      <w:pPr>
        <w:pStyle w:val="Heading1"/>
      </w:pPr>
      <w:r>
        <w:t>Merchandise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Category</w:t>
            </w:r>
          </w:p>
        </w:tc>
        <w:tc>
          <w:tcPr>
            <w:tcW w:type="dxa" w:w="4320"/>
          </w:tcPr>
          <w:p>
            <w:r>
              <w:t>Production Standard</w:t>
            </w:r>
          </w:p>
        </w:tc>
      </w:tr>
      <w:tr>
        <w:tc>
          <w:tcPr>
            <w:tcW w:type="dxa" w:w="4320"/>
          </w:tcPr>
          <w:p>
            <w:r>
              <w:t>Collectible Figures</w:t>
            </w:r>
          </w:p>
        </w:tc>
        <w:tc>
          <w:tcPr>
            <w:tcW w:type="dxa" w:w="4320"/>
          </w:tcPr>
          <w:p>
            <w:r>
              <w:t>Maintain broad silhouette, glowing blue horn, white gloves, porter hat, and protective gear.</w:t>
            </w:r>
          </w:p>
        </w:tc>
      </w:tr>
      <w:tr>
        <w:tc>
          <w:tcPr>
            <w:tcW w:type="dxa" w:w="4320"/>
          </w:tcPr>
          <w:p>
            <w:r>
              <w:t>Plush</w:t>
            </w:r>
          </w:p>
        </w:tc>
        <w:tc>
          <w:tcPr>
            <w:tcW w:type="dxa" w:w="4320"/>
          </w:tcPr>
          <w:p>
            <w:r>
              <w:t>Emphasize approachable guardian personality while preserving iconic horn and proportions.</w:t>
            </w:r>
          </w:p>
        </w:tc>
      </w:tr>
      <w:tr>
        <w:tc>
          <w:tcPr>
            <w:tcW w:type="dxa" w:w="4320"/>
          </w:tcPr>
          <w:p>
            <w:r>
              <w:t>Apparel</w:t>
            </w:r>
          </w:p>
        </w:tc>
        <w:tc>
          <w:tcPr>
            <w:tcW w:type="dxa" w:w="4320"/>
          </w:tcPr>
          <w:p>
            <w:r>
              <w:t>Use approved character artwork and official brand colors only.</w:t>
            </w:r>
          </w:p>
        </w:tc>
      </w:tr>
      <w:tr>
        <w:tc>
          <w:tcPr>
            <w:tcW w:type="dxa" w:w="4320"/>
          </w:tcPr>
          <w:p>
            <w:r>
              <w:t>Books &amp; Publishing</w:t>
            </w:r>
          </w:p>
        </w:tc>
        <w:tc>
          <w:tcPr>
            <w:tcW w:type="dxa" w:w="4320"/>
          </w:tcPr>
          <w:p>
            <w:r>
              <w:t>Illustrations must follow canonical anatomy and expressions.</w:t>
            </w:r>
          </w:p>
        </w:tc>
      </w:tr>
      <w:tr>
        <w:tc>
          <w:tcPr>
            <w:tcW w:type="dxa" w:w="4320"/>
          </w:tcPr>
          <w:p>
            <w:r>
              <w:t>Digital Products</w:t>
            </w:r>
          </w:p>
        </w:tc>
        <w:tc>
          <w:tcPr>
            <w:tcW w:type="dxa" w:w="4320"/>
          </w:tcPr>
          <w:p>
            <w:r>
              <w:t>Game models and avatars must match approved production references.</w:t>
            </w:r>
          </w:p>
        </w:tc>
      </w:tr>
    </w:tbl>
    <w:p>
      <w:pPr>
        <w:pStyle w:val="Heading1"/>
      </w:pPr>
      <w:r>
        <w:t>Manufacturing Requirements</w:t>
      </w:r>
    </w:p>
    <w:p>
      <w:pPr>
        <w:pStyle w:val="ListBullet"/>
      </w:pPr>
      <w:r>
        <w:t>Preserve silhouette recognition at every scale.</w:t>
      </w:r>
    </w:p>
    <w:p>
      <w:pPr>
        <w:pStyle w:val="ListBullet"/>
      </w:pPr>
      <w:r>
        <w:t>Ensure horn effects match approved blue energy appearance.</w:t>
      </w:r>
    </w:p>
    <w:p>
      <w:pPr>
        <w:pStyle w:val="ListBullet"/>
      </w:pPr>
      <w:r>
        <w:t>Maintain consistent paint applications and material finishes.</w:t>
      </w:r>
    </w:p>
    <w:p>
      <w:pPr>
        <w:pStyle w:val="ListBullet"/>
      </w:pPr>
      <w:r>
        <w:t>Verify badge, gloves, hat, and equipment placement during inspection.</w:t>
      </w:r>
    </w:p>
    <w:p>
      <w:pPr>
        <w:pStyle w:val="Heading1"/>
      </w:pPr>
      <w:r>
        <w:t>Brand Protection</w:t>
      </w:r>
    </w:p>
    <w:p>
      <w:pPr>
        <w:pStyle w:val="ListBullet"/>
      </w:pPr>
      <w:r>
        <w:t>Do not depict PORTER as an aggressor or villain.</w:t>
      </w:r>
    </w:p>
    <w:p>
      <w:pPr>
        <w:pStyle w:val="ListBullet"/>
      </w:pPr>
      <w:r>
        <w:t>Do not substitute unofficial logos or symbols.</w:t>
      </w:r>
    </w:p>
    <w:p>
      <w:pPr>
        <w:pStyle w:val="ListBullet"/>
      </w:pPr>
      <w:r>
        <w:t>Do not remove signature guardian equipment except when story-approved.</w:t>
      </w:r>
    </w:p>
    <w:p>
      <w:pPr>
        <w:pStyle w:val="ListBullet"/>
      </w:pPr>
      <w:r>
        <w:t>Reject off-model proportions or unauthorized redesigns.</w:t>
      </w:r>
    </w:p>
    <w:p>
      <w:pPr>
        <w:pStyle w:val="Heading1"/>
      </w:pPr>
      <w:r>
        <w:t>Quality Assurance Checklist</w:t>
      </w:r>
    </w:p>
    <w:p>
      <w:pPr>
        <w:pStyle w:val="ListBullet"/>
      </w:pPr>
      <w:r>
        <w:t>Visuals match the locked model sheet.</w:t>
      </w:r>
    </w:p>
    <w:p>
      <w:pPr>
        <w:pStyle w:val="ListBullet"/>
      </w:pPr>
      <w:r>
        <w:t>Official colors and materials are accurate.</w:t>
      </w:r>
    </w:p>
    <w:p>
      <w:pPr>
        <w:pStyle w:val="ListBullet"/>
      </w:pPr>
      <w:r>
        <w:t>Personality reflects calm, disciplined protection.</w:t>
      </w:r>
    </w:p>
    <w:p>
      <w:pPr>
        <w:pStyle w:val="ListBullet"/>
      </w:pPr>
      <w:r>
        <w:t>All branding complies with Collectiverse standards.</w:t>
      </w:r>
    </w:p>
    <w:p>
      <w:pPr>
        <w:pStyle w:val="Heading1"/>
      </w:pPr>
      <w:r>
        <w:t>Canon Lock</w:t>
      </w:r>
    </w:p>
    <w:p>
      <w:r>
        <w:t>These licensing, merchandising, manufacturing, and brand protection standards are canonical and mandatory for every official PORTER product and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