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PORTER Character Master Specification</w:t>
        <w:br/>
      </w:r>
      <w:r>
        <w:t>Part 10: Canon Compliance, Revision Control &amp; Final Character Lock</w:t>
      </w:r>
    </w:p>
    <w:p>
      <w:pPr>
        <w:pStyle w:val="Heading1"/>
      </w:pPr>
      <w:r>
        <w:t>Purpose</w:t>
      </w:r>
    </w:p>
    <w:p>
      <w:r>
        <w:t>This document formally establishes the definitive canonical version of PORTER. It defines governance, compliance, revision procedures, production approval, and the standards that preserve the integrity of the character across all official Collectiverse media.</w:t>
      </w:r>
    </w:p>
    <w:p>
      <w:pPr>
        <w:pStyle w:val="Heading1"/>
      </w:pPr>
      <w:r>
        <w:t>Canonical Compliance</w:t>
      </w:r>
    </w:p>
    <w:p>
      <w:pPr>
        <w:pStyle w:val="ListBullet"/>
      </w:pPr>
      <w:r>
        <w:t>All official artwork, animation, games, publishing, merchandise, and marketing materials must conform to the approved Character Master Specification.</w:t>
      </w:r>
    </w:p>
    <w:p>
      <w:pPr>
        <w:pStyle w:val="ListBullet"/>
      </w:pPr>
      <w:r>
        <w:t>PORTER's visual design, personality, values, and role as the Keepers' guardian may not be altered without formal canon approval.</w:t>
      </w:r>
    </w:p>
    <w:p>
      <w:pPr>
        <w:pStyle w:val="ListBullet"/>
      </w:pPr>
      <w:r>
        <w:t>New stories may expand PORTER's experiences but must never contradict established canon.</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Type</w:t>
            </w:r>
          </w:p>
        </w:tc>
        <w:tc>
          <w:tcPr>
            <w:tcW w:type="dxa" w:w="4320"/>
          </w:tcPr>
          <w:p>
            <w:r>
              <w:t>Required Approval</w:t>
            </w:r>
          </w:p>
        </w:tc>
      </w:tr>
      <w:tr>
        <w:tc>
          <w:tcPr>
            <w:tcW w:type="dxa" w:w="4320"/>
          </w:tcPr>
          <w:p>
            <w:r>
              <w:t>Editorial corrections</w:t>
            </w:r>
          </w:p>
        </w:tc>
        <w:tc>
          <w:tcPr>
            <w:tcW w:type="dxa" w:w="4320"/>
          </w:tcPr>
          <w:p>
            <w:r>
              <w:t>Documentation owner approval</w:t>
            </w:r>
          </w:p>
        </w:tc>
      </w:tr>
      <w:tr>
        <w:tc>
          <w:tcPr>
            <w:tcW w:type="dxa" w:w="4320"/>
          </w:tcPr>
          <w:p>
            <w:r>
              <w:t>Visual refinements</w:t>
            </w:r>
          </w:p>
        </w:tc>
        <w:tc>
          <w:tcPr>
            <w:tcW w:type="dxa" w:w="4320"/>
          </w:tcPr>
          <w:p>
            <w:r>
              <w:t>Creative Director approval</w:t>
            </w:r>
          </w:p>
        </w:tc>
      </w:tr>
      <w:tr>
        <w:tc>
          <w:tcPr>
            <w:tcW w:type="dxa" w:w="4320"/>
          </w:tcPr>
          <w:p>
            <w:r>
              <w:t>Story additions</w:t>
            </w:r>
          </w:p>
        </w:tc>
        <w:tc>
          <w:tcPr>
            <w:tcW w:type="dxa" w:w="4320"/>
          </w:tcPr>
          <w:p>
            <w:r>
              <w:t>Story Group review</w:t>
            </w:r>
          </w:p>
        </w:tc>
      </w:tr>
      <w:tr>
        <w:tc>
          <w:tcPr>
            <w:tcW w:type="dxa" w:w="4320"/>
          </w:tcPr>
          <w:p>
            <w:r>
              <w:t>Core character modifications</w:t>
            </w:r>
          </w:p>
        </w:tc>
        <w:tc>
          <w:tcPr>
            <w:tcW w:type="dxa" w:w="4320"/>
          </w:tcPr>
          <w:p>
            <w:r>
              <w:t>Executive canon approval</w:t>
            </w:r>
          </w:p>
        </w:tc>
      </w:tr>
      <w:tr>
        <w:tc>
          <w:tcPr>
            <w:tcW w:type="dxa" w:w="4320"/>
          </w:tcPr>
          <w:p>
            <w:r>
              <w:t>Licensing exceptions</w:t>
            </w:r>
          </w:p>
        </w:tc>
        <w:tc>
          <w:tcPr>
            <w:tcW w:type="dxa" w:w="4320"/>
          </w:tcPr>
          <w:p>
            <w:r>
              <w:t>Collectiverse Studios executive authorization</w:t>
            </w:r>
          </w:p>
        </w:tc>
      </w:tr>
    </w:tbl>
    <w:p>
      <w:pPr>
        <w:pStyle w:val="Heading1"/>
      </w:pPr>
      <w:r>
        <w:t>Production Checklist</w:t>
      </w:r>
    </w:p>
    <w:p>
      <w:pPr>
        <w:pStyle w:val="ListBullet"/>
      </w:pPr>
      <w:r>
        <w:t>Approved visual model is used.</w:t>
      </w:r>
    </w:p>
    <w:p>
      <w:pPr>
        <w:pStyle w:val="ListBullet"/>
      </w:pPr>
      <w:r>
        <w:t>Horn, uniform, gloves, badge, and porter hat match canonical references.</w:t>
      </w:r>
    </w:p>
    <w:p>
      <w:pPr>
        <w:pStyle w:val="ListBullet"/>
      </w:pPr>
      <w:r>
        <w:t>Voice and personality reflect calm, disciplined protection.</w:t>
      </w:r>
    </w:p>
    <w:p>
      <w:pPr>
        <w:pStyle w:val="ListBullet"/>
      </w:pPr>
      <w:r>
        <w:t>Behavior prioritizes people first and preservation second.</w:t>
      </w:r>
    </w:p>
    <w:p>
      <w:pPr>
        <w:pStyle w:val="ListBullet"/>
      </w:pPr>
      <w:r>
        <w:t>Branding and colors comply with Collectiverse standards.</w:t>
      </w:r>
    </w:p>
    <w:p>
      <w:pPr>
        <w:pStyle w:val="Heading1"/>
      </w:pPr>
      <w:r>
        <w:t>Final Canon Declaration</w:t>
      </w:r>
    </w:p>
    <w:p>
      <w:r>
        <w:t>PORTER is the official guardian, escort specialist, and protector of the Keepers. He embodies courage, restraint, vigilance, and responsibility, demonstrating that true strength exists to safeguard people, history, and the collectibles entrusted to the community.</w:t>
      </w:r>
    </w:p>
    <w:p>
      <w:pPr>
        <w:pStyle w:val="Heading1"/>
      </w:pPr>
      <w:r>
        <w:t>Character Lock</w:t>
      </w:r>
    </w:p>
    <w:p>
      <w:r>
        <w:t>With publication of this document, the PORTER Character Master Specification (Parts 01–10) is designated the definitive production reference for all current and future Collectiverse projects. Any deviation requires formal approval through the established canon governance process.</w:t>
      </w:r>
    </w:p>
    <w:p>
      <w:pPr>
        <w:pStyle w:val="Heading1"/>
      </w:pPr>
      <w:r>
        <w:t>Transition</w:t>
      </w:r>
    </w:p>
    <w:p>
      <w:r>
        <w:t>PORTER Character Master Specification is complete. The next Character Master Specification in Volume 02 should begin with ECHO, following the same ten-part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