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Collectiverse Studio Documentation Library</w:t>
      </w:r>
    </w:p>
    <w:p>
      <w:pPr>
        <w:jc w:val="center"/>
      </w:pPr>
      <w:r>
        <w:rPr>
          <w:b/>
        </w:rPr>
        <w:t>Volume 02 – Character Bible</w:t>
        <w:br/>
      </w:r>
      <w:r>
        <w:t>STERLING Character Master Specification</w:t>
        <w:br/>
      </w:r>
      <w:r>
        <w:t>Part 07: Equipment, Technology, Abilities &amp; Operational Standards</w:t>
      </w:r>
    </w:p>
    <w:p>
      <w:pPr>
        <w:pStyle w:val="Heading1"/>
      </w:pPr>
      <w:r>
        <w:t>Purpose</w:t>
      </w:r>
    </w:p>
    <w:p>
      <w:r>
        <w:t>This section defines STERLING's canonical equipment, authentication tools, appraisal abilities, operational procedures, and professional limitations. These standards govern every official appearance across animation, publishing, games, merchandise, and licensed products.</w:t>
      </w:r>
    </w:p>
    <w:p>
      <w:pPr>
        <w:pStyle w:val="Heading1"/>
      </w:pPr>
      <w:r>
        <w:t>Primary Equipment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Equipment</w:t>
            </w:r>
          </w:p>
        </w:tc>
        <w:tc>
          <w:tcPr>
            <w:tcW w:type="dxa" w:w="2880"/>
          </w:tcPr>
          <w:p>
            <w:r>
              <w:t>Primary Function</w:t>
            </w:r>
          </w:p>
        </w:tc>
        <w:tc>
          <w:tcPr>
            <w:tcW w:type="dxa" w:w="2880"/>
          </w:tcPr>
          <w:p>
            <w:r>
              <w:t>Canonical Standard</w:t>
            </w:r>
          </w:p>
        </w:tc>
      </w:tr>
      <w:tr>
        <w:tc>
          <w:tcPr>
            <w:tcW w:type="dxa" w:w="2880"/>
          </w:tcPr>
          <w:p>
            <w:r>
              <w:t>Gold Monocle</w:t>
            </w:r>
          </w:p>
        </w:tc>
        <w:tc>
          <w:tcPr>
            <w:tcW w:type="dxa" w:w="2880"/>
          </w:tcPr>
          <w:p>
            <w:r>
              <w:t>Magnified authentication and inspection</w:t>
            </w:r>
          </w:p>
        </w:tc>
        <w:tc>
          <w:tcPr>
            <w:tcW w:type="dxa" w:w="2880"/>
          </w:tcPr>
          <w:p>
            <w:r>
              <w:t>Always worn over the right eye unless temporarily removed by story context.</w:t>
            </w:r>
          </w:p>
        </w:tc>
      </w:tr>
      <w:tr>
        <w:tc>
          <w:tcPr>
            <w:tcW w:type="dxa" w:w="2880"/>
          </w:tcPr>
          <w:p>
            <w:r>
              <w:t>Appraiser's Loupe</w:t>
            </w:r>
          </w:p>
        </w:tc>
        <w:tc>
          <w:tcPr>
            <w:tcW w:type="dxa" w:w="2880"/>
          </w:tcPr>
          <w:p>
            <w:r>
              <w:t>Close examination of fine details</w:t>
            </w:r>
          </w:p>
        </w:tc>
        <w:tc>
          <w:tcPr>
            <w:tcW w:type="dxa" w:w="2880"/>
          </w:tcPr>
          <w:p>
            <w:r>
              <w:t>Premium folding loupe carried for detailed authentication.</w:t>
            </w:r>
          </w:p>
        </w:tc>
      </w:tr>
      <w:tr>
        <w:tc>
          <w:tcPr>
            <w:tcW w:type="dxa" w:w="2880"/>
          </w:tcPr>
          <w:p>
            <w:r>
              <w:t>White Cotton Gloves</w:t>
            </w:r>
          </w:p>
        </w:tc>
        <w:tc>
          <w:tcPr>
            <w:tcW w:type="dxa" w:w="2880"/>
          </w:tcPr>
          <w:p>
            <w:r>
              <w:t>Safe collectible handling</w:t>
            </w:r>
          </w:p>
        </w:tc>
        <w:tc>
          <w:tcPr>
            <w:tcW w:type="dxa" w:w="2880"/>
          </w:tcPr>
          <w:p>
            <w:r>
              <w:t>Signature gloves used whenever examining valuable artifacts.</w:t>
            </w:r>
          </w:p>
        </w:tc>
      </w:tr>
      <w:tr>
        <w:tc>
          <w:tcPr>
            <w:tcW w:type="dxa" w:w="2880"/>
          </w:tcPr>
          <w:p>
            <w:r>
              <w:t>Field Appraisal Kit</w:t>
            </w:r>
          </w:p>
        </w:tc>
        <w:tc>
          <w:tcPr>
            <w:tcW w:type="dxa" w:w="2880"/>
          </w:tcPr>
          <w:p>
            <w:r>
              <w:t>Portable authentication tools</w:t>
            </w:r>
          </w:p>
        </w:tc>
        <w:tc>
          <w:tcPr>
            <w:tcW w:type="dxa" w:w="2880"/>
          </w:tcPr>
          <w:p>
            <w:r>
              <w:t>Contains measuring tools, UV light, magnifier, reference samples, and documentation supplies.</w:t>
            </w:r>
          </w:p>
        </w:tc>
      </w:tr>
      <w:tr>
        <w:tc>
          <w:tcPr>
            <w:tcW w:type="dxa" w:w="2880"/>
          </w:tcPr>
          <w:p>
            <w:r>
              <w:t>Collectiverse Badge</w:t>
            </w:r>
          </w:p>
        </w:tc>
        <w:tc>
          <w:tcPr>
            <w:tcW w:type="dxa" w:w="2880"/>
          </w:tcPr>
          <w:p>
            <w:r>
              <w:t>Official team identification</w:t>
            </w:r>
          </w:p>
        </w:tc>
        <w:tc>
          <w:tcPr>
            <w:tcW w:type="dxa" w:w="2880"/>
          </w:tcPr>
          <w:p>
            <w:r>
              <w:t>Blue hexagonal badge with gold 'C' integrated into the vest.</w:t>
            </w:r>
          </w:p>
        </w:tc>
      </w:tr>
    </w:tbl>
    <w:p>
      <w:pPr>
        <w:pStyle w:val="Heading1"/>
      </w:pPr>
      <w:r>
        <w:t>Core Abilities</w:t>
      </w:r>
    </w:p>
    <w:p>
      <w:pPr>
        <w:pStyle w:val="ListBullet"/>
      </w:pPr>
      <w:r>
        <w:t>Expert authentication across multiple collectible categories.</w:t>
      </w:r>
    </w:p>
    <w:p>
      <w:pPr>
        <w:pStyle w:val="ListBullet"/>
      </w:pPr>
      <w:r>
        <w:t>Professional grading and condition assessment.</w:t>
      </w:r>
    </w:p>
    <w:p>
      <w:pPr>
        <w:pStyle w:val="ListBullet"/>
      </w:pPr>
      <w:r>
        <w:t>Recognition of restoration, alteration, and counterfeit indicators.</w:t>
      </w:r>
    </w:p>
    <w:p>
      <w:pPr>
        <w:pStyle w:val="ListBullet"/>
      </w:pPr>
      <w:r>
        <w:t>Market valuation using rarity, provenance, condition, and demand.</w:t>
      </w:r>
    </w:p>
    <w:p>
      <w:pPr>
        <w:pStyle w:val="ListBullet"/>
      </w:pPr>
      <w:r>
        <w:t>Clear communication of appraisal findings to collectors and teammates.</w:t>
      </w:r>
    </w:p>
    <w:p>
      <w:pPr>
        <w:pStyle w:val="Heading1"/>
      </w:pPr>
      <w:r>
        <w:t>Operational Workflow</w:t>
      </w:r>
    </w:p>
    <w:p>
      <w:r>
        <w:t>STERLING follows a structured appraisal process: examine the item, verify authenticity, assess condition, research provenance, compare market data, document findings, and present a balanced conclusion that distinguishes verified facts from professional opinion.</w:t>
      </w:r>
    </w:p>
    <w:p>
      <w:pPr>
        <w:pStyle w:val="Heading1"/>
      </w:pPr>
      <w:r>
        <w:t>Operational Limitations</w:t>
      </w:r>
    </w:p>
    <w:p>
      <w:pPr>
        <w:pStyle w:val="ListBullet"/>
      </w:pPr>
      <w:r>
        <w:t>No appraisal is presented without sufficient supporting evidence.</w:t>
      </w:r>
    </w:p>
    <w:p>
      <w:pPr>
        <w:pStyle w:val="ListBullet"/>
      </w:pPr>
      <w:r>
        <w:t>Market values may change over time and should be identified as time-sensitive.</w:t>
      </w:r>
    </w:p>
    <w:p>
      <w:pPr>
        <w:pStyle w:val="ListBullet"/>
      </w:pPr>
      <w:r>
        <w:t>Authentication cannot rely on appearance alone when additional testing is required.</w:t>
      </w:r>
    </w:p>
    <w:p>
      <w:pPr>
        <w:pStyle w:val="ListBullet"/>
      </w:pPr>
      <w:r>
        <w:t>Professional judgment is never influenced by personal financial interest.</w:t>
      </w:r>
    </w:p>
    <w:p>
      <w:pPr>
        <w:pStyle w:val="Heading1"/>
      </w:pPr>
      <w:r>
        <w:t>Technology &amp; Design Principles</w:t>
      </w:r>
    </w:p>
    <w:p>
      <w:pPr>
        <w:pStyle w:val="ListBullet"/>
      </w:pPr>
      <w:r>
        <w:t>Equipment should appear premium, refined, and purpose-built.</w:t>
      </w:r>
    </w:p>
    <w:p>
      <w:pPr>
        <w:pStyle w:val="ListBullet"/>
      </w:pPr>
      <w:r>
        <w:t>Technology enhances expertise rather than replacing professional judgment.</w:t>
      </w:r>
    </w:p>
    <w:p>
      <w:pPr>
        <w:pStyle w:val="ListBullet"/>
      </w:pPr>
      <w:r>
        <w:t>Visual design emphasizes precision, craftsmanship, and trust.</w:t>
      </w:r>
    </w:p>
    <w:p>
      <w:pPr>
        <w:pStyle w:val="ListBullet"/>
      </w:pPr>
      <w:r>
        <w:t>Tools reinforce STERLING's identity as an ethical appraiser.</w:t>
      </w:r>
    </w:p>
    <w:p>
      <w:pPr>
        <w:pStyle w:val="Heading1"/>
      </w:pPr>
      <w:r>
        <w:t>Canon Lock</w:t>
      </w:r>
    </w:p>
    <w:p>
      <w:r>
        <w:t>STERLING's equipment, authentication methods, appraisal workflow, abilities, and operational limitations are canonical. Future enhancements may expand his toolkit but must preserve his identity as Collectiverse's trusted authority on authenticity and value.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