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STERLING Character Master Specification</w:t>
        <w:br/>
      </w:r>
      <w:r>
        <w:t>Part 09: Voice, Dialogue, Audio Identity &amp; Performance Direction</w:t>
      </w:r>
    </w:p>
    <w:p>
      <w:pPr>
        <w:pStyle w:val="Heading1"/>
      </w:pPr>
      <w:r>
        <w:t>Purpose</w:t>
      </w:r>
    </w:p>
    <w:p>
      <w:r>
        <w:t>This document establishes STERLING's canonical vocal identity, dialogue style, speech patterns, audio branding, localization guidance, and performance direction. These standards ensure consistent characterization across animation, games, interactive experiences, audiobooks, and all licensed media.</w:t>
      </w:r>
    </w:p>
    <w:p>
      <w:pPr>
        <w:pStyle w:val="Heading1"/>
      </w:pPr>
      <w:r>
        <w:t>Voice Profile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Canonical Standard</w:t>
            </w:r>
          </w:p>
        </w:tc>
      </w:tr>
      <w:tr>
        <w:tc>
          <w:tcPr>
            <w:tcW w:type="dxa" w:w="4320"/>
          </w:tcPr>
          <w:p>
            <w:r>
              <w:t>Overall Tone</w:t>
            </w:r>
          </w:p>
        </w:tc>
        <w:tc>
          <w:tcPr>
            <w:tcW w:type="dxa" w:w="4320"/>
          </w:tcPr>
          <w:p>
            <w:r>
              <w:t>Warm, refined, intelligent, and reassuring.</w:t>
            </w:r>
          </w:p>
        </w:tc>
      </w:tr>
      <w:tr>
        <w:tc>
          <w:tcPr>
            <w:tcW w:type="dxa" w:w="4320"/>
          </w:tcPr>
          <w:p>
            <w:r>
              <w:t>Accent</w:t>
            </w:r>
          </w:p>
        </w:tc>
        <w:tc>
          <w:tcPr>
            <w:tcW w:type="dxa" w:w="4320"/>
          </w:tcPr>
          <w:p>
            <w:r>
              <w:t>Lightly sophisticated English influence without becoming stereotypical.</w:t>
            </w:r>
          </w:p>
        </w:tc>
      </w:tr>
      <w:tr>
        <w:tc>
          <w:tcPr>
            <w:tcW w:type="dxa" w:w="4320"/>
          </w:tcPr>
          <w:p>
            <w:r>
              <w:t>Pace</w:t>
            </w:r>
          </w:p>
        </w:tc>
        <w:tc>
          <w:tcPr>
            <w:tcW w:type="dxa" w:w="4320"/>
          </w:tcPr>
          <w:p>
            <w:r>
              <w:t>Measured and deliberate, allowing ideas to be understood clearly.</w:t>
            </w:r>
          </w:p>
        </w:tc>
      </w:tr>
      <w:tr>
        <w:tc>
          <w:tcPr>
            <w:tcW w:type="dxa" w:w="4320"/>
          </w:tcPr>
          <w:p>
            <w:r>
              <w:t>Pitch</w:t>
            </w:r>
          </w:p>
        </w:tc>
        <w:tc>
          <w:tcPr>
            <w:tcW w:type="dxa" w:w="4320"/>
          </w:tcPr>
          <w:p>
            <w:r>
              <w:t>Medium with calm authority.</w:t>
            </w:r>
          </w:p>
        </w:tc>
      </w:tr>
      <w:tr>
        <w:tc>
          <w:tcPr>
            <w:tcW w:type="dxa" w:w="4320"/>
          </w:tcPr>
          <w:p>
            <w:r>
              <w:t>Energy</w:t>
            </w:r>
          </w:p>
        </w:tc>
        <w:tc>
          <w:tcPr>
            <w:tcW w:type="dxa" w:w="4320"/>
          </w:tcPr>
          <w:p>
            <w:r>
              <w:t>Controlled confidence with genuine enthusiasm for collectibles.</w:t>
            </w:r>
          </w:p>
        </w:tc>
      </w:tr>
      <w:tr>
        <w:tc>
          <w:tcPr>
            <w:tcW w:type="dxa" w:w="4320"/>
          </w:tcPr>
          <w:p>
            <w:r>
              <w:t>Emotional Range</w:t>
            </w:r>
          </w:p>
        </w:tc>
        <w:tc>
          <w:tcPr>
            <w:tcW w:type="dxa" w:w="4320"/>
          </w:tcPr>
          <w:p>
            <w:r>
              <w:t>Subtle, composed, and authentic rather than theatrical.</w:t>
            </w:r>
          </w:p>
        </w:tc>
      </w:tr>
    </w:tbl>
    <w:p>
      <w:pPr>
        <w:pStyle w:val="Heading1"/>
      </w:pPr>
      <w:r>
        <w:t>Dialogue Principles</w:t>
      </w:r>
    </w:p>
    <w:p>
      <w:pPr>
        <w:pStyle w:val="ListBullet"/>
      </w:pPr>
      <w:r>
        <w:t>Explain rather than lecture.</w:t>
      </w:r>
    </w:p>
    <w:p>
      <w:pPr>
        <w:pStyle w:val="ListBullet"/>
      </w:pPr>
      <w:r>
        <w:t>Differentiate verified facts from informed opinion.</w:t>
      </w:r>
    </w:p>
    <w:p>
      <w:pPr>
        <w:pStyle w:val="ListBullet"/>
      </w:pPr>
      <w:r>
        <w:t>Encourage curiosity and lifelong learning.</w:t>
      </w:r>
    </w:p>
    <w:p>
      <w:pPr>
        <w:pStyle w:val="ListBullet"/>
      </w:pPr>
      <w:r>
        <w:t>Use precise terminology without excluding beginners.</w:t>
      </w:r>
    </w:p>
    <w:p>
      <w:pPr>
        <w:pStyle w:val="ListBullet"/>
      </w:pPr>
      <w:r>
        <w:t>Celebrate authenticity over monetary value alone.</w:t>
      </w:r>
    </w:p>
    <w:p>
      <w:pPr>
        <w:pStyle w:val="Heading1"/>
      </w:pPr>
      <w:r>
        <w:t>Signature Communication Style</w:t>
      </w:r>
    </w:p>
    <w:p>
      <w:r>
        <w:t>STERLING speaks with courtesy, patience, and confidence. He avoids exaggerated claims, never ridicules honest mistakes, and treats every collector with respect regardless of experience or budget.</w:t>
      </w:r>
    </w:p>
    <w:p>
      <w:pPr>
        <w:pStyle w:val="Heading1"/>
      </w:pPr>
      <w:r>
        <w:t>Audio Identity</w:t>
      </w:r>
    </w:p>
    <w:p>
      <w:pPr>
        <w:pStyle w:val="ListBullet"/>
      </w:pPr>
      <w:r>
        <w:t>Gentle cloth movement and soft glove sounds during examinations.</w:t>
      </w:r>
    </w:p>
    <w:p>
      <w:pPr>
        <w:pStyle w:val="ListBullet"/>
      </w:pPr>
      <w:r>
        <w:t>Subtle metallic click when adjusting the gold monocle.</w:t>
      </w:r>
    </w:p>
    <w:p>
      <w:pPr>
        <w:pStyle w:val="ListBullet"/>
      </w:pPr>
      <w:r>
        <w:t>Quiet page turns, cases opening, and careful object handling.</w:t>
      </w:r>
    </w:p>
    <w:p>
      <w:pPr>
        <w:pStyle w:val="ListBullet"/>
      </w:pPr>
      <w:r>
        <w:t>No exaggerated or comedic sound effects.</w:t>
      </w:r>
    </w:p>
    <w:p>
      <w:pPr>
        <w:pStyle w:val="Heading1"/>
      </w:pPr>
      <w:r>
        <w:t>Localization Standards</w:t>
      </w:r>
    </w:p>
    <w:p>
      <w:r>
        <w:t>Localized performances should preserve STERLING's refinement, kindness, and precision. Translations should favor clear educational language while maintaining his calm, distinguished personality.</w:t>
      </w:r>
    </w:p>
    <w:p>
      <w:pPr>
        <w:pStyle w:val="Heading1"/>
      </w:pPr>
      <w:r>
        <w:t>Performance Direction</w:t>
      </w:r>
    </w:p>
    <w:p>
      <w:pPr>
        <w:pStyle w:val="ListBullet"/>
      </w:pPr>
      <w:r>
        <w:t>Sound genuinely interested in every collectible.</w:t>
      </w:r>
    </w:p>
    <w:p>
      <w:pPr>
        <w:pStyle w:val="ListBullet"/>
      </w:pPr>
      <w:r>
        <w:t>Deliver educational information naturally through conversation.</w:t>
      </w:r>
    </w:p>
    <w:p>
      <w:pPr>
        <w:pStyle w:val="ListBullet"/>
      </w:pPr>
      <w:r>
        <w:t>Maintain composure even when discovering counterfeits.</w:t>
      </w:r>
    </w:p>
    <w:p>
      <w:pPr>
        <w:pStyle w:val="ListBullet"/>
      </w:pPr>
      <w:r>
        <w:t>Allow warmth and encouragement to remain present in every interaction.</w:t>
      </w:r>
    </w:p>
    <w:p>
      <w:pPr>
        <w:pStyle w:val="Heading1"/>
      </w:pPr>
      <w:r>
        <w:t>Canon Lock</w:t>
      </w:r>
    </w:p>
    <w:p>
      <w:r>
        <w:t>These voice, dialogue, localization, audio, and performance standards are canonical. Every official portrayal of STERLING must preserve his identity as Collectiverse's trusted, ethical, and approachable appraisal expert.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