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STERLING Character Master Specification</w:t>
        <w:br/>
      </w:r>
      <w:r>
        <w:t>Part 10: Canon Compliance, Revision Control &amp; Final Character Lock</w:t>
      </w:r>
    </w:p>
    <w:p>
      <w:pPr>
        <w:pStyle w:val="Heading1"/>
      </w:pPr>
      <w:r>
        <w:t>Purpose</w:t>
      </w:r>
    </w:p>
    <w:p>
      <w:r>
        <w:t>This document formally establishes the final canonical definition of STERLING. It specifies compliance requirements, revision governance, production authority, and the rules that preserve the character's identity across all official Collectiverse media.</w:t>
      </w:r>
    </w:p>
    <w:p>
      <w:pPr>
        <w:pStyle w:val="Heading1"/>
      </w:pPr>
      <w:r>
        <w:t>Canonical Compliance</w:t>
      </w:r>
    </w:p>
    <w:p>
      <w:pPr>
        <w:pStyle w:val="ListBullet"/>
      </w:pPr>
      <w:r>
        <w:t>All official artwork, animation, games, publications, merchandise, and marketing must conform to the approved Character Master Specification.</w:t>
      </w:r>
    </w:p>
    <w:p>
      <w:pPr>
        <w:pStyle w:val="ListBullet"/>
      </w:pPr>
      <w:r>
        <w:t>Core visual identity, personality, ethics, and narrative role may not be altered without formal canon approval.</w:t>
      </w:r>
    </w:p>
    <w:p>
      <w:pPr>
        <w:pStyle w:val="ListBullet"/>
      </w:pPr>
      <w:r>
        <w:t>Approved story variations may expand experiences but cannot contradict established canon.</w:t>
      </w:r>
    </w:p>
    <w:p>
      <w:pPr>
        <w:pStyle w:val="Heading1"/>
      </w:pPr>
      <w:r>
        <w:t>Revision Control</w:t>
      </w:r>
    </w:p>
    <w:tbl>
      <w:tblPr>
        <w:tblStyle w:val="TableGrid"/>
        <w:tblW w:type="auto" w:w="0"/>
        <w:tblLook w:firstColumn="1" w:firstRow="1" w:lastColumn="0" w:lastRow="0" w:noHBand="0" w:noVBand="1" w:val="04A0"/>
      </w:tblPr>
      <w:tblGrid>
        <w:gridCol w:w="4320"/>
        <w:gridCol w:w="4320"/>
      </w:tblGrid>
      <w:tr>
        <w:tc>
          <w:tcPr>
            <w:tcW w:type="dxa" w:w="4320"/>
          </w:tcPr>
          <w:p>
            <w:r>
              <w:t>Revision Category</w:t>
            </w:r>
          </w:p>
        </w:tc>
        <w:tc>
          <w:tcPr>
            <w:tcW w:type="dxa" w:w="4320"/>
          </w:tcPr>
          <w:p>
            <w:r>
              <w:t>Approval Requirement</w:t>
            </w:r>
          </w:p>
        </w:tc>
      </w:tr>
      <w:tr>
        <w:tc>
          <w:tcPr>
            <w:tcW w:type="dxa" w:w="4320"/>
          </w:tcPr>
          <w:p>
            <w:r>
              <w:t>Editorial corrections</w:t>
            </w:r>
          </w:p>
        </w:tc>
        <w:tc>
          <w:tcPr>
            <w:tcW w:type="dxa" w:w="4320"/>
          </w:tcPr>
          <w:p>
            <w:r>
              <w:t>Documentation owner approval</w:t>
            </w:r>
          </w:p>
        </w:tc>
      </w:tr>
      <w:tr>
        <w:tc>
          <w:tcPr>
            <w:tcW w:type="dxa" w:w="4320"/>
          </w:tcPr>
          <w:p>
            <w:r>
              <w:t>Art refinements</w:t>
            </w:r>
          </w:p>
        </w:tc>
        <w:tc>
          <w:tcPr>
            <w:tcW w:type="dxa" w:w="4320"/>
          </w:tcPr>
          <w:p>
            <w:r>
              <w:t>Creative Director approval</w:t>
            </w:r>
          </w:p>
        </w:tc>
      </w:tr>
      <w:tr>
        <w:tc>
          <w:tcPr>
            <w:tcW w:type="dxa" w:w="4320"/>
          </w:tcPr>
          <w:p>
            <w:r>
              <w:t>Narrative additions</w:t>
            </w:r>
          </w:p>
        </w:tc>
        <w:tc>
          <w:tcPr>
            <w:tcW w:type="dxa" w:w="4320"/>
          </w:tcPr>
          <w:p>
            <w:r>
              <w:t>Story Group review</w:t>
            </w:r>
          </w:p>
        </w:tc>
      </w:tr>
      <w:tr>
        <w:tc>
          <w:tcPr>
            <w:tcW w:type="dxa" w:w="4320"/>
          </w:tcPr>
          <w:p>
            <w:r>
              <w:t>Core character changes</w:t>
            </w:r>
          </w:p>
        </w:tc>
        <w:tc>
          <w:tcPr>
            <w:tcW w:type="dxa" w:w="4320"/>
          </w:tcPr>
          <w:p>
            <w:r>
              <w:t>Executive canon approval</w:t>
            </w:r>
          </w:p>
        </w:tc>
      </w:tr>
      <w:tr>
        <w:tc>
          <w:tcPr>
            <w:tcW w:type="dxa" w:w="4320"/>
          </w:tcPr>
          <w:p>
            <w:r>
              <w:t>Licensing exceptions</w:t>
            </w:r>
          </w:p>
        </w:tc>
        <w:tc>
          <w:tcPr>
            <w:tcW w:type="dxa" w:w="4320"/>
          </w:tcPr>
          <w:p>
            <w:r>
              <w:t>Collectiverse Studios executive authorization</w:t>
            </w:r>
          </w:p>
        </w:tc>
      </w:tr>
    </w:tbl>
    <w:p>
      <w:pPr>
        <w:pStyle w:val="Heading1"/>
      </w:pPr>
      <w:r>
        <w:t>Production Checklist</w:t>
      </w:r>
    </w:p>
    <w:p>
      <w:pPr>
        <w:pStyle w:val="ListBullet"/>
      </w:pPr>
      <w:r>
        <w:t>Visual appearance matches the locked model.</w:t>
      </w:r>
    </w:p>
    <w:p>
      <w:pPr>
        <w:pStyle w:val="ListBullet"/>
      </w:pPr>
      <w:r>
        <w:t>Voice and dialogue remain consistent with canon.</w:t>
      </w:r>
    </w:p>
    <w:p>
      <w:pPr>
        <w:pStyle w:val="ListBullet"/>
      </w:pPr>
      <w:r>
        <w:t>Behavior reflects integrity, expertise, and respect.</w:t>
      </w:r>
    </w:p>
    <w:p>
      <w:pPr>
        <w:pStyle w:val="ListBullet"/>
      </w:pPr>
      <w:r>
        <w:t>Equipment and wardrobe follow approved specifications.</w:t>
      </w:r>
    </w:p>
    <w:p>
      <w:pPr>
        <w:pStyle w:val="ListBullet"/>
      </w:pPr>
      <w:r>
        <w:t>Educational mission is preserved in every appearance.</w:t>
      </w:r>
    </w:p>
    <w:p>
      <w:pPr>
        <w:pStyle w:val="Heading1"/>
      </w:pPr>
      <w:r>
        <w:t>Final Canon Declaration</w:t>
      </w:r>
    </w:p>
    <w:p>
      <w:r>
        <w:t>STERLING is the official appraiser and authentication specialist of the Keepers. His defining qualities are refined professionalism, ethical judgment, exceptional knowledge, and genuine respect for collectors. These traits are permanent franchise foundations.</w:t>
      </w:r>
    </w:p>
    <w:p>
      <w:pPr>
        <w:pStyle w:val="Heading1"/>
      </w:pPr>
      <w:r>
        <w:t>Character Lock</w:t>
      </w:r>
    </w:p>
    <w:p>
      <w:r>
        <w:t>Upon publication of this document, the STERLING Character Master Specification (Parts 01–10) is designated the definitive production reference for all current and future Collectiverse projects. Any deviation requires formal approval through the established canon governance process.</w:t>
      </w:r>
    </w:p>
    <w:p>
      <w:pPr>
        <w:pStyle w:val="Heading1"/>
      </w:pPr>
      <w:r>
        <w:t>Transition</w:t>
      </w:r>
    </w:p>
    <w:p>
      <w:r>
        <w:t>STERLING Character Master Specification is complete. The next Character Master Specification in Volume 02 should begin with FORGE, following the same ten-part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