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COUNTERFEITER Character Master Specification</w:t>
        <w:br/>
      </w:r>
      <w:r>
        <w:t>Part 10: Canon Lock, Franchise Governance &amp; Production Approval</w:t>
      </w:r>
    </w:p>
    <w:p>
      <w:pPr>
        <w:pStyle w:val="Heading1"/>
      </w:pPr>
      <w:r>
        <w:t>Purpose</w:t>
      </w:r>
    </w:p>
    <w:p>
      <w:r>
        <w:t>This document permanently establishes THE COUNTERFEITER's canonical identity and defines the governance rules for every official use across the Collectiverse franchise.</w:t>
      </w:r>
    </w:p>
    <w:p>
      <w:pPr>
        <w:pStyle w:val="Heading1"/>
      </w:pPr>
      <w:r>
        <w:t>Canonical Identity</w:t>
      </w:r>
    </w:p>
    <w:p>
      <w:pPr>
        <w:pStyle w:val="ListBullet"/>
      </w:pPr>
      <w:r>
        <w:t>Species: Chameleon</w:t>
      </w:r>
    </w:p>
    <w:p>
      <w:pPr>
        <w:pStyle w:val="ListBullet"/>
      </w:pPr>
      <w:r>
        <w:t>Role: The Syndicate's master counterfeiter and artistic forger</w:t>
      </w:r>
    </w:p>
    <w:p>
      <w:pPr>
        <w:pStyle w:val="ListBullet"/>
      </w:pPr>
      <w:r>
        <w:t>Signature features: Four arms, prehensile tail, artist's beret, prismatic eyes, cracked empty hex badge</w:t>
      </w:r>
    </w:p>
    <w:p>
      <w:pPr>
        <w:pStyle w:val="ListBullet"/>
      </w:pPr>
      <w:r>
        <w:t>Core philosophy: Technical perfection can imitate authenticity but never replace it</w:t>
      </w:r>
    </w:p>
    <w:p>
      <w:pPr>
        <w:pStyle w:val="Heading1"/>
      </w:pPr>
      <w:r>
        <w:t>Immutable Design Standards</w:t>
      </w:r>
    </w:p>
    <w:p>
      <w:pPr>
        <w:pStyle w:val="ListBullet"/>
      </w:pPr>
      <w:r>
        <w:t>The four-arm anatomy may not be removed or simplified.</w:t>
      </w:r>
    </w:p>
    <w:p>
      <w:pPr>
        <w:pStyle w:val="ListBullet"/>
      </w:pPr>
      <w:r>
        <w:t>Official proportions, silhouette, colors, and equipment must remain consistent.</w:t>
      </w:r>
    </w:p>
    <w:p>
      <w:pPr>
        <w:pStyle w:val="ListBullet"/>
      </w:pPr>
      <w:r>
        <w:t>The character must always project refined precision and calculated confidence.</w:t>
      </w:r>
    </w:p>
    <w:p>
      <w:pPr>
        <w:pStyle w:val="ListBullet"/>
      </w:pPr>
      <w:r>
        <w:t>Visual updates may enhance fidelity but may not redefine identity.</w:t>
      </w:r>
    </w:p>
    <w:p>
      <w:pPr>
        <w:pStyle w:val="Heading1"/>
      </w:pPr>
      <w:r>
        <w:t>Franchise Governance</w:t>
      </w:r>
    </w:p>
    <w:p>
      <w:r>
        <w:t>All appearances in animation, games, publishing, merchandise, marketing, collectibles, and licensed media must comply with the complete Character Master Specification. Any intentional deviation requires formal approval from Collectiverse Studios.</w:t>
      </w:r>
    </w:p>
    <w:p>
      <w:pPr>
        <w:pStyle w:val="Heading1"/>
      </w:pPr>
      <w:r>
        <w:t>Approval Checklist</w:t>
      </w:r>
    </w:p>
    <w:p>
      <w:pPr>
        <w:pStyle w:val="ListBullet"/>
      </w:pPr>
      <w:r>
        <w:t>Visual design matches approved model sheets.</w:t>
      </w:r>
    </w:p>
    <w:p>
      <w:pPr>
        <w:pStyle w:val="ListBullet"/>
      </w:pPr>
      <w:r>
        <w:t>Personality, dialogue, and performance remain canonical.</w:t>
      </w:r>
    </w:p>
    <w:p>
      <w:pPr>
        <w:pStyle w:val="ListBullet"/>
      </w:pPr>
      <w:r>
        <w:t>Equipment and abilities follow approved specifications.</w:t>
      </w:r>
    </w:p>
    <w:p>
      <w:pPr>
        <w:pStyle w:val="ListBullet"/>
      </w:pPr>
      <w:r>
        <w:t>Merchandise reproduces protected design elements accurately.</w:t>
      </w:r>
    </w:p>
    <w:p>
      <w:pPr>
        <w:pStyle w:val="ListBullet"/>
      </w:pPr>
      <w:r>
        <w:t>No unauthorized redesigns or alternate canon are introduced.</w:t>
      </w:r>
    </w:p>
    <w:p>
      <w:pPr>
        <w:pStyle w:val="Heading1"/>
      </w:pPr>
      <w:r>
        <w:t>Version Control</w:t>
      </w:r>
    </w:p>
    <w:p>
      <w:r>
        <w:t>This document represents the authoritative canon for THE COUNTERFEITER. Future revisions must preserve established identity while recording approved updates through controlled versioning.</w:t>
      </w:r>
    </w:p>
    <w:p>
      <w:pPr>
        <w:pStyle w:val="Heading1"/>
      </w:pPr>
      <w:r>
        <w:t>Final Canon Lock</w:t>
      </w:r>
    </w:p>
    <w:p>
      <w:r>
        <w:t>THE COUNTERFEITER Character Master Specification Parts 01–10 collectively form the definitive production standard. These documents are the sole authoritative reference for all official Collectiverse portrayals, licensing, manufacturing, storytelling, and franchise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