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THE DIRECTOR Character Master Specification</w:t>
        <w:br/>
      </w:r>
      <w:r>
        <w:t>Part 08: Licensing, Merchandise, Manufacturing &amp; Brand Protection Standards</w:t>
      </w:r>
    </w:p>
    <w:p>
      <w:pPr>
        <w:pStyle w:val="Heading1"/>
      </w:pPr>
      <w:r>
        <w:t>Purpose</w:t>
      </w:r>
    </w:p>
    <w:p>
      <w:r>
        <w:t>This document establishes the canonical standards governing THE DIRECTOR's licensed products, manufacturing specifications, brand consistency, intellectual property protection, and quality assurance requirements across all official Collectiverse media and merchandise.</w:t>
      </w:r>
    </w:p>
    <w:p>
      <w:pPr>
        <w:pStyle w:val="Heading1"/>
      </w:pPr>
      <w:r>
        <w:t>Licensing Standards</w:t>
      </w:r>
    </w:p>
    <w:p>
      <w:pPr>
        <w:pStyle w:val="ListBullet"/>
      </w:pPr>
      <w:r>
        <w:t>All licensed depictions must conform to the approved Character Master Specification.</w:t>
      </w:r>
    </w:p>
    <w:p>
      <w:pPr>
        <w:pStyle w:val="ListBullet"/>
      </w:pPr>
      <w:r>
        <w:t>The mirror-black visor must remain completely opaque in every medium.</w:t>
      </w:r>
    </w:p>
    <w:p>
      <w:pPr>
        <w:pStyle w:val="ListBullet"/>
      </w:pPr>
      <w:r>
        <w:t>Official armor colors, proportions, insignia, and silhouette may not be altered without written approval.</w:t>
      </w:r>
    </w:p>
    <w:p>
      <w:pPr>
        <w:pStyle w:val="ListBullet"/>
      </w:pPr>
      <w:r>
        <w:t>THE DIRECTOR must consistently embody strategic authority, discipline, and calculated leadership.</w:t>
      </w:r>
    </w:p>
    <w:p>
      <w:pPr>
        <w:pStyle w:val="Heading1"/>
      </w:pPr>
      <w:r>
        <w:t>Merchandise Guidelines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Category</w:t>
            </w:r>
          </w:p>
        </w:tc>
        <w:tc>
          <w:tcPr>
            <w:tcW w:type="dxa" w:w="4320"/>
          </w:tcPr>
          <w:p>
            <w:r>
              <w:t>Production Standard</w:t>
            </w:r>
          </w:p>
        </w:tc>
      </w:tr>
      <w:tr>
        <w:tc>
          <w:tcPr>
            <w:tcW w:type="dxa" w:w="4320"/>
          </w:tcPr>
          <w:p>
            <w:r>
              <w:t>Collectible Figures</w:t>
            </w:r>
          </w:p>
        </w:tc>
        <w:tc>
          <w:tcPr>
            <w:tcW w:type="dxa" w:w="4320"/>
          </w:tcPr>
          <w:p>
            <w:r>
              <w:t>Maintain elongated silhouette, rigid shoulders, opaque visor, and crimson energy channels.</w:t>
            </w:r>
          </w:p>
        </w:tc>
      </w:tr>
      <w:tr>
        <w:tc>
          <w:tcPr>
            <w:tcW w:type="dxa" w:w="4320"/>
          </w:tcPr>
          <w:p>
            <w:r>
              <w:t>Premium Statues</w:t>
            </w:r>
          </w:p>
        </w:tc>
        <w:tc>
          <w:tcPr>
            <w:tcW w:type="dxa" w:w="4320"/>
          </w:tcPr>
          <w:p>
            <w:r>
              <w:t>Preserve architectural stance, polished armor finishes, and imposing proportions.</w:t>
            </w:r>
          </w:p>
        </w:tc>
      </w:tr>
      <w:tr>
        <w:tc>
          <w:tcPr>
            <w:tcW w:type="dxa" w:w="4320"/>
          </w:tcPr>
          <w:p>
            <w:r>
              <w:t>Apparel</w:t>
            </w:r>
          </w:p>
        </w:tc>
        <w:tc>
          <w:tcPr>
            <w:tcW w:type="dxa" w:w="4320"/>
          </w:tcPr>
          <w:p>
            <w:r>
              <w:t>Use only approved character artwork, insignia, and official Collectiverse branding.</w:t>
            </w:r>
          </w:p>
        </w:tc>
      </w:tr>
      <w:tr>
        <w:tc>
          <w:tcPr>
            <w:tcW w:type="dxa" w:w="4320"/>
          </w:tcPr>
          <w:p>
            <w:r>
              <w:t>Games &amp; Digital Media</w:t>
            </w:r>
          </w:p>
        </w:tc>
        <w:tc>
          <w:tcPr>
            <w:tcW w:type="dxa" w:w="4320"/>
          </w:tcPr>
          <w:p>
            <w:r>
              <w:t>Models and animations must match approved production references.</w:t>
            </w:r>
          </w:p>
        </w:tc>
      </w:tr>
      <w:tr>
        <w:tc>
          <w:tcPr>
            <w:tcW w:type="dxa" w:w="4320"/>
          </w:tcPr>
          <w:p>
            <w:r>
              <w:t>Publishing</w:t>
            </w:r>
          </w:p>
        </w:tc>
        <w:tc>
          <w:tcPr>
            <w:tcW w:type="dxa" w:w="4320"/>
          </w:tcPr>
          <w:p>
            <w:r>
              <w:t>Illustrations must retain canonical anatomy, colors, and visual identity.</w:t>
            </w:r>
          </w:p>
        </w:tc>
      </w:tr>
    </w:tbl>
    <w:p>
      <w:pPr>
        <w:pStyle w:val="Heading1"/>
      </w:pPr>
      <w:r>
        <w:t>Manufacturing Requirements</w:t>
      </w:r>
    </w:p>
    <w:p>
      <w:pPr>
        <w:pStyle w:val="ListBullet"/>
      </w:pPr>
      <w:r>
        <w:t>Maintain consistent dark gunmetal coloration across production runs.</w:t>
      </w:r>
    </w:p>
    <w:p>
      <w:pPr>
        <w:pStyle w:val="ListBullet"/>
      </w:pPr>
      <w:r>
        <w:t>Verify accurate placement of crimson energy channels and chrome accents.</w:t>
      </w:r>
    </w:p>
    <w:p>
      <w:pPr>
        <w:pStyle w:val="ListBullet"/>
      </w:pPr>
      <w:r>
        <w:t>Ensure visor finish is reflective while remaining fully opaque.</w:t>
      </w:r>
    </w:p>
    <w:p>
      <w:pPr>
        <w:pStyle w:val="ListBullet"/>
      </w:pPr>
      <w:r>
        <w:t>Preserve precise armor geometry and panel symmetry.</w:t>
      </w:r>
    </w:p>
    <w:p>
      <w:pPr>
        <w:pStyle w:val="Heading1"/>
      </w:pPr>
      <w:r>
        <w:t>Brand Protection</w:t>
      </w:r>
    </w:p>
    <w:p>
      <w:pPr>
        <w:pStyle w:val="ListBullet"/>
      </w:pPr>
      <w:r>
        <w:t>Do not depict THE DIRECTOR as comedic or incompetent.</w:t>
      </w:r>
    </w:p>
    <w:p>
      <w:pPr>
        <w:pStyle w:val="ListBullet"/>
      </w:pPr>
      <w:r>
        <w:t>Do not expose eyes or facial features beneath the visor.</w:t>
      </w:r>
    </w:p>
    <w:p>
      <w:pPr>
        <w:pStyle w:val="ListBullet"/>
      </w:pPr>
      <w:r>
        <w:t>Do not replace the official cracked empty hex insignia.</w:t>
      </w:r>
    </w:p>
    <w:p>
      <w:pPr>
        <w:pStyle w:val="ListBullet"/>
      </w:pPr>
      <w:r>
        <w:t>Protect the character's identity as the franchise's principal strategic antagonist.</w:t>
      </w:r>
    </w:p>
    <w:p>
      <w:pPr>
        <w:pStyle w:val="Heading1"/>
      </w:pPr>
      <w:r>
        <w:t>Quality Assurance Checklist</w:t>
      </w:r>
    </w:p>
    <w:p>
      <w:pPr>
        <w:pStyle w:val="ListBullet"/>
      </w:pPr>
      <w:r>
        <w:t>Model matches approved production references.</w:t>
      </w:r>
    </w:p>
    <w:p>
      <w:pPr>
        <w:pStyle w:val="ListBullet"/>
      </w:pPr>
      <w:r>
        <w:t>Armor colors and materials are accurate.</w:t>
      </w:r>
    </w:p>
    <w:p>
      <w:pPr>
        <w:pStyle w:val="ListBullet"/>
      </w:pPr>
      <w:r>
        <w:t>Visor is completely opaque.</w:t>
      </w:r>
    </w:p>
    <w:p>
      <w:pPr>
        <w:pStyle w:val="ListBullet"/>
      </w:pPr>
      <w:r>
        <w:t>Personality projects calm authority and strategic intelligence.</w:t>
      </w:r>
    </w:p>
    <w:p>
      <w:pPr>
        <w:pStyle w:val="ListBullet"/>
      </w:pPr>
      <w:r>
        <w:t>Branding complies with Collectiverse standards.</w:t>
      </w:r>
    </w:p>
    <w:p>
      <w:pPr>
        <w:pStyle w:val="Heading1"/>
      </w:pPr>
      <w:r>
        <w:t>Canon Lock</w:t>
      </w:r>
    </w:p>
    <w:p>
      <w:r>
        <w:t>These licensing, merchandising, manufacturing, and brand protection standards are canonical and mandatory for every official portrayal and licensed product featuring THE DIRECTOR.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