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VTitle"/>
        <w:jc w:val="center"/>
      </w:pPr>
      <w:r>
        <w:t>COLLECTIVERSE</w:t>
      </w:r>
    </w:p>
    <w:p>
      <w:pPr>
        <w:pStyle w:val="CVSubtitle"/>
        <w:jc w:val="center"/>
      </w:pPr>
      <w:r>
        <w:t>VOLUME 03 — WORLD BIBLE</w:t>
      </w:r>
    </w:p>
    <w:p>
      <w:pPr>
        <w:jc w:val="center"/>
      </w:pPr>
      <w:r>
        <w:rPr>
          <w:b/>
          <w:color w:val="7F6000"/>
          <w:sz w:val="24"/>
        </w:rPr>
        <w:t>Part 01</w:t>
      </w:r>
    </w:p>
    <w:p>
      <w:pPr>
        <w:jc w:val="center"/>
      </w:pPr>
      <w:r>
        <w:rPr>
          <w:b/>
          <w:color w:val="17365D"/>
          <w:sz w:val="36"/>
        </w:rPr>
        <w:t>Executive Overview &amp; World Canon Foundation</w:t>
      </w:r>
    </w:p>
    <w:p/>
    <w:p>
      <w:pPr>
        <w:jc w:val="center"/>
      </w:pPr>
      <w:r>
        <w:rPr>
          <w:i/>
          <w:sz w:val="21"/>
        </w:rPr>
        <w:t>Character Master Specification Library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9"/>
              </w:rPr>
              <w:t>Document Class</w:t>
            </w:r>
          </w:p>
        </w:tc>
        <w:tc>
          <w:tcPr>
            <w:tcW w:type="dxa" w:w="4968"/>
            <w:vAlign w:val="center"/>
            <w:shd w:fill="D9EAF7"/>
          </w:tcPr>
          <w:p>
            <w:r/>
            <w:r>
              <w:rPr>
                <w:rFonts w:ascii="Aptos" w:hAnsi="Aptos"/>
                <w:b w:val="0"/>
                <w:sz w:val="19"/>
              </w:rPr>
              <w:t>World Bible</w:t>
            </w:r>
          </w:p>
        </w:tc>
      </w:tr>
      <w:tr>
        <w:tc>
          <w:tcPr>
            <w:tcW w:type="dxa" w:w="4968"/>
            <w:vAlign w:val="center"/>
            <w:shd w:fill="17365D"/>
          </w:tcPr>
          <w:p>
            <w:r/>
            <w:r>
              <w:rPr>
                <w:rFonts w:ascii="Aptos" w:hAnsi="Aptos"/>
                <w:b/>
                <w:color w:val="FFFFFF"/>
                <w:sz w:val="19"/>
              </w:rPr>
              <w:t>Volume</w:t>
            </w:r>
          </w:p>
        </w:tc>
        <w:tc>
          <w:tcPr>
            <w:tcW w:type="dxa" w:w="4968"/>
            <w:vAlign w:val="center"/>
            <w:shd w:fill="D9EAF7"/>
          </w:tcPr>
          <w:p>
            <w:r/>
            <w:r>
              <w:rPr>
                <w:rFonts w:ascii="Aptos" w:hAnsi="Aptos"/>
                <w:b w:val="0"/>
                <w:sz w:val="19"/>
              </w:rPr>
              <w:t>03</w:t>
            </w:r>
          </w:p>
        </w:tc>
      </w:tr>
      <w:tr>
        <w:tc>
          <w:tcPr>
            <w:tcW w:type="dxa" w:w="4968"/>
            <w:vAlign w:val="center"/>
            <w:shd w:fill="17365D"/>
          </w:tcPr>
          <w:p>
            <w:r/>
            <w:r>
              <w:rPr>
                <w:rFonts w:ascii="Aptos" w:hAnsi="Aptos"/>
                <w:b/>
                <w:color w:val="FFFFFF"/>
                <w:sz w:val="19"/>
              </w:rPr>
              <w:t>Part</w:t>
            </w:r>
          </w:p>
        </w:tc>
        <w:tc>
          <w:tcPr>
            <w:tcW w:type="dxa" w:w="4968"/>
            <w:vAlign w:val="center"/>
            <w:shd w:fill="D9EAF7"/>
          </w:tcPr>
          <w:p>
            <w:r/>
            <w:r>
              <w:rPr>
                <w:rFonts w:ascii="Aptos" w:hAnsi="Aptos"/>
                <w:b w:val="0"/>
                <w:sz w:val="19"/>
              </w:rPr>
              <w:t>01 of the World Bible series</w:t>
            </w:r>
          </w:p>
        </w:tc>
      </w:tr>
      <w:tr>
        <w:tc>
          <w:tcPr>
            <w:tcW w:type="dxa" w:w="4968"/>
            <w:vAlign w:val="center"/>
            <w:shd w:fill="17365D"/>
          </w:tcPr>
          <w:p>
            <w:r/>
            <w:r>
              <w:rPr>
                <w:rFonts w:ascii="Aptos" w:hAnsi="Aptos"/>
                <w:b/>
                <w:color w:val="FFFFFF"/>
                <w:sz w:val="19"/>
              </w:rPr>
              <w:t>Canon Status</w:t>
            </w:r>
          </w:p>
        </w:tc>
        <w:tc>
          <w:tcPr>
            <w:tcW w:type="dxa" w:w="4968"/>
            <w:vAlign w:val="center"/>
            <w:shd w:fill="D9EAF7"/>
          </w:tcPr>
          <w:p>
            <w:r/>
            <w:r>
              <w:rPr>
                <w:rFonts w:ascii="Aptos" w:hAnsi="Aptos"/>
                <w:b w:val="0"/>
                <w:sz w:val="19"/>
              </w:rPr>
              <w:t>FOUNDATIONAL — ACTIVE</w:t>
            </w:r>
          </w:p>
        </w:tc>
      </w:tr>
      <w:tr>
        <w:tc>
          <w:tcPr>
            <w:tcW w:type="dxa" w:w="4968"/>
            <w:vAlign w:val="center"/>
            <w:shd w:fill="17365D"/>
          </w:tcPr>
          <w:p>
            <w:r/>
            <w:r>
              <w:rPr>
                <w:rFonts w:ascii="Aptos" w:hAnsi="Aptos"/>
                <w:b/>
                <w:color w:val="FFFFFF"/>
                <w:sz w:val="19"/>
              </w:rPr>
              <w:t>Authority</w:t>
            </w:r>
          </w:p>
        </w:tc>
        <w:tc>
          <w:tcPr>
            <w:tcW w:type="dxa" w:w="4968"/>
            <w:vAlign w:val="center"/>
            <w:shd w:fill="D9EAF7"/>
          </w:tcPr>
          <w:p>
            <w:r/>
            <w:r>
              <w:rPr>
                <w:rFonts w:ascii="Aptos" w:hAnsi="Aptos"/>
                <w:b w:val="0"/>
                <w:sz w:val="19"/>
              </w:rPr>
              <w:t>Collectiverse Studio</w:t>
            </w:r>
          </w:p>
        </w:tc>
      </w:tr>
    </w:tbl>
    <w:p>
      <w:r>
        <w:br w:type="page"/>
      </w:r>
    </w:p>
    <w:p>
      <w:pPr>
        <w:pStyle w:val="CVHeading1"/>
      </w:pPr>
      <w:r>
        <w:t>1. Purpose</w:t>
      </w:r>
    </w:p>
    <w:p>
      <w:r>
        <w:t>This document establishes the foundational world canon for Collectiverse. It defines the setting's core identity, operating logic, narrative boundaries, and production assumptions before later volumes expand geography, history, institutions, technology, culture, conflict, and story architecture.</w:t>
      </w:r>
    </w:p>
    <w:p>
      <w:pPr>
        <w:pStyle w:val="CVHeading1"/>
      </w:pPr>
      <w:r>
        <w:t>2. World Premise</w:t>
      </w:r>
    </w:p>
    <w:p>
      <w:r>
        <w:t>Collectiverse is a connected world in which collectibles are treated as vessels of memory, identity, history, craftsmanship, and human connection. The setting blends recognizable modern life with advanced authentication systems, preservation technology, secure repositories, live events, digital records, and specialized institutions dedicated to protecting provenance and cultural meaning.</w:t>
      </w:r>
    </w:p>
    <w:p>
      <w:pPr>
        <w:pStyle w:val="CVHeading2"/>
      </w:pPr>
      <w:r>
        <w:t>Core World Statement</w:t>
      </w:r>
    </w:p>
    <w:tbl>
      <w:tblPr>
        <w:tblW w:type="auto" w:w="0"/>
        <w:jc w:val="center"/>
        <w:tblLook w:firstColumn="1" w:firstRow="1" w:lastColumn="0" w:lastRow="0" w:noHBand="0" w:noVBand="1" w:val="04A0"/>
      </w:tblPr>
      <w:tblGrid>
        <w:gridCol w:w="9936"/>
      </w:tblGrid>
      <w:tr>
        <w:tc>
          <w:tcPr>
            <w:tcW w:type="dxa" w:w="9936"/>
            <w:shd w:fill="EAF2F8"/>
            <w:vAlign w:val="center"/>
          </w:tcPr>
          <w:p>
            <w:r/>
            <w:r>
              <w:rPr>
                <w:rFonts w:ascii="Aptos" w:hAnsi="Aptos"/>
                <w:b/>
                <w:color w:val="17365D"/>
                <w:sz w:val="22"/>
              </w:rPr>
              <w:t>The Collectiverse exists to preserve the story, authenticity, ownership, and cultural significance of every collectible.</w:t>
            </w:r>
          </w:p>
        </w:tc>
      </w:tr>
    </w:tbl>
    <w:p>
      <w:pPr>
        <w:pStyle w:val="CVHeading1"/>
      </w:pPr>
      <w:r>
        <w:t>3. Foundational Canon Principles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9"/>
              </w:rPr>
              <w:t>Principle</w:t>
            </w:r>
          </w:p>
        </w:tc>
        <w:tc>
          <w:tcPr>
            <w:tcW w:type="dxa" w:w="4968"/>
            <w:vAlign w:val="center"/>
            <w:shd w:fill="17365D"/>
          </w:tcPr>
          <w:p>
            <w:r/>
            <w:r>
              <w:rPr>
                <w:rFonts w:ascii="Aptos" w:hAnsi="Aptos"/>
                <w:b/>
                <w:color w:val="FFFFFF"/>
                <w:sz w:val="19"/>
              </w:rPr>
              <w:t>Canonical Meaning</w:t>
            </w:r>
          </w:p>
        </w:tc>
      </w:tr>
      <w:tr>
        <w:tc>
          <w:tcPr>
            <w:tcW w:type="dxa" w:w="4968"/>
            <w:vAlign w:val="center"/>
            <w:shd w:fill="D9EAF7"/>
          </w:tcPr>
          <w:p>
            <w:r/>
            <w:r>
              <w:rPr>
                <w:rFonts w:ascii="Aptos" w:hAnsi="Aptos"/>
                <w:b/>
                <w:color w:val="17365D"/>
                <w:sz w:val="19"/>
              </w:rPr>
              <w:t>Collectibles Have Meaning</w:t>
            </w:r>
          </w:p>
        </w:tc>
        <w:tc>
          <w:tcPr>
            <w:tcW w:type="dxa" w:w="4968"/>
            <w:vAlign w:val="center"/>
          </w:tcPr>
          <w:p>
            <w:r/>
            <w:r>
              <w:rPr>
                <w:rFonts w:ascii="Aptos" w:hAnsi="Aptos"/>
                <w:b w:val="0"/>
                <w:sz w:val="19"/>
              </w:rPr>
              <w:t>An item's value is not limited to price. Its story, provenance, condition, ownership history, and emotional importance are equally significant.</w:t>
            </w:r>
          </w:p>
        </w:tc>
      </w:tr>
      <w:tr>
        <w:tc>
          <w:tcPr>
            <w:tcW w:type="dxa" w:w="4968"/>
            <w:vAlign w:val="center"/>
            <w:shd w:fill="D9EAF7"/>
          </w:tcPr>
          <w:p>
            <w:r/>
            <w:r>
              <w:rPr>
                <w:rFonts w:ascii="Aptos" w:hAnsi="Aptos"/>
                <w:b/>
                <w:color w:val="17365D"/>
                <w:sz w:val="19"/>
              </w:rPr>
              <w:t>Preservation Before Exploitation</w:t>
            </w:r>
          </w:p>
        </w:tc>
        <w:tc>
          <w:tcPr>
            <w:tcW w:type="dxa" w:w="4968"/>
            <w:vAlign w:val="center"/>
          </w:tcPr>
          <w:p>
            <w:r/>
            <w:r>
              <w:rPr>
                <w:rFonts w:ascii="Aptos" w:hAnsi="Aptos"/>
                <w:b w:val="0"/>
                <w:sz w:val="19"/>
              </w:rPr>
              <w:t>The world favors stewardship, documentation, responsible handling, and truthful representation over destructive alteration or opportunistic manipulation.</w:t>
            </w:r>
          </w:p>
        </w:tc>
      </w:tr>
      <w:tr>
        <w:tc>
          <w:tcPr>
            <w:tcW w:type="dxa" w:w="4968"/>
            <w:vAlign w:val="center"/>
            <w:shd w:fill="D9EAF7"/>
          </w:tcPr>
          <w:p>
            <w:r/>
            <w:r>
              <w:rPr>
                <w:rFonts w:ascii="Aptos" w:hAnsi="Aptos"/>
                <w:b/>
                <w:color w:val="17365D"/>
                <w:sz w:val="19"/>
              </w:rPr>
              <w:t>Technology Supports Trust</w:t>
            </w:r>
          </w:p>
        </w:tc>
        <w:tc>
          <w:tcPr>
            <w:tcW w:type="dxa" w:w="4968"/>
            <w:vAlign w:val="center"/>
          </w:tcPr>
          <w:p>
            <w:r/>
            <w:r>
              <w:rPr>
                <w:rFonts w:ascii="Aptos" w:hAnsi="Aptos"/>
                <w:b w:val="0"/>
                <w:sz w:val="19"/>
              </w:rPr>
              <w:t>Technology may verify, protect, connect, and document, but it does not replace human judgment, ethics, expertise, or historical context.</w:t>
            </w:r>
          </w:p>
        </w:tc>
      </w:tr>
      <w:tr>
        <w:tc>
          <w:tcPr>
            <w:tcW w:type="dxa" w:w="4968"/>
            <w:vAlign w:val="center"/>
            <w:shd w:fill="D9EAF7"/>
          </w:tcPr>
          <w:p>
            <w:r/>
            <w:r>
              <w:rPr>
                <w:rFonts w:ascii="Aptos" w:hAnsi="Aptos"/>
                <w:b/>
                <w:color w:val="17365D"/>
                <w:sz w:val="19"/>
              </w:rPr>
              <w:t>Community Creates the World</w:t>
            </w:r>
          </w:p>
        </w:tc>
        <w:tc>
          <w:tcPr>
            <w:tcW w:type="dxa" w:w="4968"/>
            <w:vAlign w:val="center"/>
          </w:tcPr>
          <w:p>
            <w:r/>
            <w:r>
              <w:rPr>
                <w:rFonts w:ascii="Aptos" w:hAnsi="Aptos"/>
                <w:b w:val="0"/>
                <w:sz w:val="19"/>
              </w:rPr>
              <w:t>Collectors, curators, creators, historians, dealers, appraisers, fans, families, and institutions all shape the Collectiverse.</w:t>
            </w:r>
          </w:p>
        </w:tc>
      </w:tr>
      <w:tr>
        <w:tc>
          <w:tcPr>
            <w:tcW w:type="dxa" w:w="4968"/>
            <w:vAlign w:val="center"/>
            <w:shd w:fill="D9EAF7"/>
          </w:tcPr>
          <w:p>
            <w:r/>
            <w:r>
              <w:rPr>
                <w:rFonts w:ascii="Aptos" w:hAnsi="Aptos"/>
                <w:b/>
                <w:color w:val="17365D"/>
                <w:sz w:val="19"/>
              </w:rPr>
              <w:t>Conflict Emerges From Misuse</w:t>
            </w:r>
          </w:p>
        </w:tc>
        <w:tc>
          <w:tcPr>
            <w:tcW w:type="dxa" w:w="4968"/>
            <w:vAlign w:val="center"/>
          </w:tcPr>
          <w:p>
            <w:r/>
            <w:r>
              <w:rPr>
                <w:rFonts w:ascii="Aptos" w:hAnsi="Aptos"/>
                <w:b w:val="0"/>
                <w:sz w:val="19"/>
              </w:rPr>
              <w:t>Villainous activity arises when knowledge, ownership, markets, restoration, access, or technology are manipulated for control, deception, theft, or personal power.</w:t>
            </w:r>
          </w:p>
        </w:tc>
      </w:tr>
      <w:tr>
        <w:tc>
          <w:tcPr>
            <w:tcW w:type="dxa" w:w="4968"/>
            <w:vAlign w:val="center"/>
            <w:shd w:fill="D9EAF7"/>
          </w:tcPr>
          <w:p>
            <w:r/>
            <w:r>
              <w:rPr>
                <w:rFonts w:ascii="Aptos" w:hAnsi="Aptos"/>
                <w:b/>
                <w:color w:val="17365D"/>
                <w:sz w:val="19"/>
              </w:rPr>
              <w:t>The World Remains Approachable</w:t>
            </w:r>
          </w:p>
        </w:tc>
        <w:tc>
          <w:tcPr>
            <w:tcW w:type="dxa" w:w="4968"/>
            <w:vAlign w:val="center"/>
          </w:tcPr>
          <w:p>
            <w:r/>
            <w:r>
              <w:rPr>
                <w:rFonts w:ascii="Aptos" w:hAnsi="Aptos"/>
                <w:b w:val="0"/>
                <w:sz w:val="19"/>
              </w:rPr>
              <w:t>Even when threats are serious, the setting remains adventurous, intelligent, visually inviting, and suitable for broad family audiences.</w:t>
            </w:r>
          </w:p>
        </w:tc>
      </w:tr>
    </w:tbl>
    <w:p>
      <w:pPr>
        <w:pStyle w:val="CVHeading1"/>
      </w:pPr>
      <w:r>
        <w:t>4. Tone and Audience</w:t>
      </w:r>
    </w:p>
    <w:p>
      <w:r>
        <w:t>The Collectiverse world combines wonder, mystery, education, humor, adventure, and ethical conflict. Its tone should feel intelligent without becoming clinical, emotionally resonant without becoming bleak, and visually rich without becoming chaotic. The setting is designed for children, families, adult collectors, hobby professionals, and long-term franchise audiences.</w:t>
      </w:r>
    </w:p>
    <w:p>
      <w:pPr>
        <w:pStyle w:val="CVHeading2"/>
      </w:pPr>
      <w:r>
        <w:t>Tone Standards</w:t>
      </w:r>
    </w:p>
    <w:p>
      <w:pPr>
        <w:pStyle w:val="ListBullet"/>
      </w:pPr>
      <w:r>
        <w:t>Adventurous rather than violent.</w:t>
      </w:r>
    </w:p>
    <w:p>
      <w:pPr>
        <w:pStyle w:val="ListBullet"/>
      </w:pPr>
      <w:r>
        <w:t>Clever and suspenseful rather than frightening.</w:t>
      </w:r>
    </w:p>
    <w:p>
      <w:pPr>
        <w:pStyle w:val="ListBullet"/>
      </w:pPr>
      <w:r>
        <w:t>Educational without sounding like a textbook.</w:t>
      </w:r>
    </w:p>
    <w:p>
      <w:pPr>
        <w:pStyle w:val="ListBullet"/>
      </w:pPr>
      <w:r>
        <w:t>Emotionally sincere without becoming sentimental.</w:t>
      </w:r>
    </w:p>
    <w:p>
      <w:pPr>
        <w:pStyle w:val="ListBullet"/>
      </w:pPr>
      <w:r>
        <w:t>Technologically advanced but still understandable.</w:t>
      </w:r>
    </w:p>
    <w:p>
      <w:pPr>
        <w:pStyle w:val="ListBullet"/>
      </w:pPr>
      <w:r>
        <w:t>Friendly and collectible-driven rather than superhero-driven.</w:t>
      </w:r>
    </w:p>
    <w:p>
      <w:pPr>
        <w:pStyle w:val="CVHeading1"/>
      </w:pPr>
      <w:r>
        <w:t>5. Relationship Between the Real World and the Fictional World</w:t>
      </w:r>
    </w:p>
    <w:p>
      <w:r>
        <w:t>Collectiverse operates as a heightened extension of the real collecting ecosystem. Auctions, conventions, museums, grading, authentication, restoration, shipping, marketplaces, inheritance, insurance, and private collections may all appear in recognizable form. Fictional technology and institutions may enhance these systems, but the underlying behavior of collectors and collectibles must remain credible.</w:t>
      </w:r>
    </w:p>
    <w:p>
      <w:pPr>
        <w:pStyle w:val="CVHeading1"/>
      </w:pPr>
      <w:r>
        <w:t>6. Primary World Domains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5597"/>
          </w:tcPr>
          <w:p>
            <w:r/>
            <w:r>
              <w:rPr>
                <w:rFonts w:ascii="Aptos" w:hAnsi="Aptos"/>
                <w:b/>
                <w:color w:val="FFFFFF"/>
                <w:sz w:val="19"/>
              </w:rPr>
              <w:t>Domain</w:t>
            </w:r>
          </w:p>
        </w:tc>
        <w:tc>
          <w:tcPr>
            <w:tcW w:type="dxa" w:w="4968"/>
            <w:vAlign w:val="center"/>
            <w:shd w:fill="2F5597"/>
          </w:tcPr>
          <w:p>
            <w:r/>
            <w:r>
              <w:rPr>
                <w:rFonts w:ascii="Aptos" w:hAnsi="Aptos"/>
                <w:b/>
                <w:color w:val="FFFFFF"/>
                <w:sz w:val="19"/>
              </w:rPr>
              <w:t>Function in the World</w:t>
            </w:r>
          </w:p>
        </w:tc>
      </w:tr>
      <w:tr>
        <w:tc>
          <w:tcPr>
            <w:tcW w:type="dxa" w:w="4968"/>
            <w:vAlign w:val="center"/>
            <w:shd w:fill="EAF2F8"/>
          </w:tcPr>
          <w:p>
            <w:r/>
            <w:r>
              <w:rPr>
                <w:rFonts w:ascii="Aptos" w:hAnsi="Aptos"/>
                <w:b/>
                <w:color w:val="17365D"/>
                <w:sz w:val="19"/>
              </w:rPr>
              <w:t>Keeper Operations</w:t>
            </w:r>
          </w:p>
        </w:tc>
        <w:tc>
          <w:tcPr>
            <w:tcW w:type="dxa" w:w="4968"/>
            <w:vAlign w:val="center"/>
          </w:tcPr>
          <w:p>
            <w:r/>
            <w:r>
              <w:rPr>
                <w:rFonts w:ascii="Aptos" w:hAnsi="Aptos"/>
                <w:b w:val="0"/>
                <w:sz w:val="19"/>
              </w:rPr>
              <w:t>Headquarters, field missions, authentication work, preservation, education, and community service.</w:t>
            </w:r>
          </w:p>
        </w:tc>
      </w:tr>
      <w:tr>
        <w:tc>
          <w:tcPr>
            <w:tcW w:type="dxa" w:w="4968"/>
            <w:vAlign w:val="center"/>
            <w:shd w:fill="EAF2F8"/>
          </w:tcPr>
          <w:p>
            <w:r/>
            <w:r>
              <w:rPr>
                <w:rFonts w:ascii="Aptos" w:hAnsi="Aptos"/>
                <w:b/>
                <w:color w:val="17365D"/>
                <w:sz w:val="19"/>
              </w:rPr>
              <w:t>Public Collecting World</w:t>
            </w:r>
          </w:p>
        </w:tc>
        <w:tc>
          <w:tcPr>
            <w:tcW w:type="dxa" w:w="4968"/>
            <w:vAlign w:val="center"/>
          </w:tcPr>
          <w:p>
            <w:r/>
            <w:r>
              <w:rPr>
                <w:rFonts w:ascii="Aptos" w:hAnsi="Aptos"/>
                <w:b w:val="0"/>
                <w:sz w:val="19"/>
              </w:rPr>
              <w:t>Shows, stores, conventions, auctions, museums, clubs, schools, and collector communities.</w:t>
            </w:r>
          </w:p>
        </w:tc>
      </w:tr>
      <w:tr>
        <w:tc>
          <w:tcPr>
            <w:tcW w:type="dxa" w:w="4968"/>
            <w:vAlign w:val="center"/>
            <w:shd w:fill="EAF2F8"/>
          </w:tcPr>
          <w:p>
            <w:r/>
            <w:r>
              <w:rPr>
                <w:rFonts w:ascii="Aptos" w:hAnsi="Aptos"/>
                <w:b/>
                <w:color w:val="17365D"/>
                <w:sz w:val="19"/>
              </w:rPr>
              <w:t>Private Collections</w:t>
            </w:r>
          </w:p>
        </w:tc>
        <w:tc>
          <w:tcPr>
            <w:tcW w:type="dxa" w:w="4968"/>
            <w:vAlign w:val="center"/>
          </w:tcPr>
          <w:p>
            <w:r/>
            <w:r>
              <w:rPr>
                <w:rFonts w:ascii="Aptos" w:hAnsi="Aptos"/>
                <w:b w:val="0"/>
                <w:sz w:val="19"/>
              </w:rPr>
              <w:t>Homes, estates, archives, vaults, family histories, and protected collections.</w:t>
            </w:r>
          </w:p>
        </w:tc>
      </w:tr>
      <w:tr>
        <w:tc>
          <w:tcPr>
            <w:tcW w:type="dxa" w:w="4968"/>
            <w:vAlign w:val="center"/>
            <w:shd w:fill="EAF2F8"/>
          </w:tcPr>
          <w:p>
            <w:r/>
            <w:r>
              <w:rPr>
                <w:rFonts w:ascii="Aptos" w:hAnsi="Aptos"/>
                <w:b/>
                <w:color w:val="17365D"/>
                <w:sz w:val="19"/>
              </w:rPr>
              <w:t>Digital Collectiverse</w:t>
            </w:r>
          </w:p>
        </w:tc>
        <w:tc>
          <w:tcPr>
            <w:tcW w:type="dxa" w:w="4968"/>
            <w:vAlign w:val="center"/>
          </w:tcPr>
          <w:p>
            <w:r/>
            <w:r>
              <w:rPr>
                <w:rFonts w:ascii="Aptos" w:hAnsi="Aptos"/>
                <w:b w:val="0"/>
                <w:sz w:val="19"/>
              </w:rPr>
              <w:t>Passports, records, provenance networks, secure identity, live broadcasts, and connected tools.</w:t>
            </w:r>
          </w:p>
        </w:tc>
      </w:tr>
      <w:tr>
        <w:tc>
          <w:tcPr>
            <w:tcW w:type="dxa" w:w="4968"/>
            <w:vAlign w:val="center"/>
            <w:shd w:fill="EAF2F8"/>
          </w:tcPr>
          <w:p>
            <w:r/>
            <w:r>
              <w:rPr>
                <w:rFonts w:ascii="Aptos" w:hAnsi="Aptos"/>
                <w:b/>
                <w:color w:val="17365D"/>
                <w:sz w:val="19"/>
              </w:rPr>
              <w:t>Syndicate Operations</w:t>
            </w:r>
          </w:p>
        </w:tc>
        <w:tc>
          <w:tcPr>
            <w:tcW w:type="dxa" w:w="4968"/>
            <w:vAlign w:val="center"/>
          </w:tcPr>
          <w:p>
            <w:r/>
            <w:r>
              <w:rPr>
                <w:rFonts w:ascii="Aptos" w:hAnsi="Aptos"/>
                <w:b w:val="0"/>
                <w:sz w:val="19"/>
              </w:rPr>
              <w:t>Hidden transport routes, manipulation networks, counterfeit workshops, hoarding sites, and controlled information.</w:t>
            </w:r>
          </w:p>
        </w:tc>
      </w:tr>
      <w:tr>
        <w:tc>
          <w:tcPr>
            <w:tcW w:type="dxa" w:w="4968"/>
            <w:vAlign w:val="center"/>
            <w:shd w:fill="EAF2F8"/>
          </w:tcPr>
          <w:p>
            <w:r/>
            <w:r>
              <w:rPr>
                <w:rFonts w:ascii="Aptos" w:hAnsi="Aptos"/>
                <w:b/>
                <w:color w:val="17365D"/>
                <w:sz w:val="19"/>
              </w:rPr>
              <w:t>Historical Layers</w:t>
            </w:r>
          </w:p>
        </w:tc>
        <w:tc>
          <w:tcPr>
            <w:tcW w:type="dxa" w:w="4968"/>
            <w:vAlign w:val="center"/>
          </w:tcPr>
          <w:p>
            <w:r/>
            <w:r>
              <w:rPr>
                <w:rFonts w:ascii="Aptos" w:hAnsi="Aptos"/>
                <w:b w:val="0"/>
                <w:sz w:val="19"/>
              </w:rPr>
              <w:t>Past owners, creators, lost collections, major discoveries, famous restorations, and unresolved provenance mysteries.</w:t>
            </w:r>
          </w:p>
        </w:tc>
      </w:tr>
    </w:tbl>
    <w:p>
      <w:pPr>
        <w:pStyle w:val="CVHeading1"/>
      </w:pPr>
      <w:r>
        <w:t>7. Canonical Technology Position</w:t>
      </w:r>
    </w:p>
    <w:p>
      <w:r>
        <w:t>World technology must support authentication, preservation, identification, secure transport, communication, education, and responsible commerce. It may be visually advanced, but it must retain clear rules, limitations, failure modes, and human oversight.</w:t>
      </w:r>
    </w:p>
    <w:p>
      <w:pPr>
        <w:pStyle w:val="ListBullet"/>
      </w:pPr>
      <w:r>
        <w:t>No technology may make expertise, provenance research, or ethical judgment irrelevant.</w:t>
      </w:r>
    </w:p>
    <w:p>
      <w:pPr>
        <w:pStyle w:val="ListBullet"/>
      </w:pPr>
      <w:r>
        <w:t>Authentication tools provide evidence; they do not create truth.</w:t>
      </w:r>
    </w:p>
    <w:p>
      <w:pPr>
        <w:pStyle w:val="ListBullet"/>
      </w:pPr>
      <w:r>
        <w:t>Digital records must connect to verifiable physical or historical evidence.</w:t>
      </w:r>
    </w:p>
    <w:p>
      <w:pPr>
        <w:pStyle w:val="ListBullet"/>
      </w:pPr>
      <w:r>
        <w:t>Security systems may be compromised, creating legitimate narrative stakes.</w:t>
      </w:r>
    </w:p>
    <w:p>
      <w:pPr>
        <w:pStyle w:val="ListBullet"/>
      </w:pPr>
      <w:r>
        <w:t>Technology should be modular enough to support stories, games, applications, animation, and merchandise.</w:t>
      </w:r>
    </w:p>
    <w:p>
      <w:pPr>
        <w:pStyle w:val="CVHeading1"/>
      </w:pPr>
      <w:r>
        <w:t>8. Canonical Conflict Architecture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7F6000"/>
          </w:tcPr>
          <w:p>
            <w:r/>
            <w:r>
              <w:rPr>
                <w:rFonts w:ascii="Aptos" w:hAnsi="Aptos"/>
                <w:b/>
                <w:color w:val="FFFFFF"/>
                <w:sz w:val="19"/>
              </w:rPr>
              <w:t>World Conflict</w:t>
            </w:r>
          </w:p>
        </w:tc>
        <w:tc>
          <w:tcPr>
            <w:tcW w:type="dxa" w:w="4968"/>
            <w:vAlign w:val="center"/>
            <w:shd w:fill="7F6000"/>
          </w:tcPr>
          <w:p>
            <w:r/>
            <w:r>
              <w:rPr>
                <w:rFonts w:ascii="Aptos" w:hAnsi="Aptos"/>
                <w:b/>
                <w:color w:val="FFFFFF"/>
                <w:sz w:val="19"/>
              </w:rPr>
              <w:t>Primary Character Expression</w:t>
            </w:r>
          </w:p>
        </w:tc>
      </w:tr>
      <w:tr>
        <w:tc>
          <w:tcPr>
            <w:tcW w:type="dxa" w:w="4968"/>
            <w:vAlign w:val="center"/>
            <w:shd w:fill="FFF2CC"/>
          </w:tcPr>
          <w:p>
            <w:r/>
            <w:r>
              <w:rPr>
                <w:rFonts w:ascii="Aptos" w:hAnsi="Aptos"/>
                <w:b/>
                <w:color w:val="7F6000"/>
                <w:sz w:val="19"/>
              </w:rPr>
              <w:t>Community vs. Control</w:t>
            </w:r>
          </w:p>
        </w:tc>
        <w:tc>
          <w:tcPr>
            <w:tcW w:type="dxa" w:w="4968"/>
            <w:vAlign w:val="center"/>
          </w:tcPr>
          <w:p>
            <w:r/>
            <w:r>
              <w:rPr>
                <w:rFonts w:ascii="Aptos" w:hAnsi="Aptos"/>
                <w:b w:val="0"/>
                <w:sz w:val="19"/>
              </w:rPr>
              <w:t>Atlas and the Director</w:t>
            </w:r>
          </w:p>
        </w:tc>
      </w:tr>
      <w:tr>
        <w:tc>
          <w:tcPr>
            <w:tcW w:type="dxa" w:w="4968"/>
            <w:vAlign w:val="center"/>
            <w:shd w:fill="FFF2CC"/>
          </w:tcPr>
          <w:p>
            <w:r/>
            <w:r>
              <w:rPr>
                <w:rFonts w:ascii="Aptos" w:hAnsi="Aptos"/>
                <w:b/>
                <w:color w:val="7F6000"/>
                <w:sz w:val="19"/>
              </w:rPr>
              <w:t>Discovery vs. Corruption</w:t>
            </w:r>
          </w:p>
        </w:tc>
        <w:tc>
          <w:tcPr>
            <w:tcW w:type="dxa" w:w="4968"/>
            <w:vAlign w:val="center"/>
          </w:tcPr>
          <w:p>
            <w:r/>
            <w:r>
              <w:rPr>
                <w:rFonts w:ascii="Aptos" w:hAnsi="Aptos"/>
                <w:b w:val="0"/>
                <w:sz w:val="19"/>
              </w:rPr>
              <w:t>Pixel and the Hacker</w:t>
            </w:r>
          </w:p>
        </w:tc>
      </w:tr>
      <w:tr>
        <w:tc>
          <w:tcPr>
            <w:tcW w:type="dxa" w:w="4968"/>
            <w:vAlign w:val="center"/>
            <w:shd w:fill="FFF2CC"/>
          </w:tcPr>
          <w:p>
            <w:r/>
            <w:r>
              <w:rPr>
                <w:rFonts w:ascii="Aptos" w:hAnsi="Aptos"/>
                <w:b/>
                <w:color w:val="7F6000"/>
                <w:sz w:val="19"/>
              </w:rPr>
              <w:t>Preservation vs. Destructive Improvement</w:t>
            </w:r>
          </w:p>
        </w:tc>
        <w:tc>
          <w:tcPr>
            <w:tcW w:type="dxa" w:w="4968"/>
            <w:vAlign w:val="center"/>
          </w:tcPr>
          <w:p>
            <w:r/>
            <w:r>
              <w:rPr>
                <w:rFonts w:ascii="Aptos" w:hAnsi="Aptos"/>
                <w:b w:val="0"/>
                <w:sz w:val="19"/>
              </w:rPr>
              <w:t>Ink and the Restorer</w:t>
            </w:r>
          </w:p>
        </w:tc>
      </w:tr>
      <w:tr>
        <w:tc>
          <w:tcPr>
            <w:tcW w:type="dxa" w:w="4968"/>
            <w:vAlign w:val="center"/>
            <w:shd w:fill="FFF2CC"/>
          </w:tcPr>
          <w:p>
            <w:r/>
            <w:r>
              <w:rPr>
                <w:rFonts w:ascii="Aptos" w:hAnsi="Aptos"/>
                <w:b/>
                <w:color w:val="7F6000"/>
                <w:sz w:val="19"/>
              </w:rPr>
              <w:t>Authenticity vs. Forgery</w:t>
            </w:r>
          </w:p>
        </w:tc>
        <w:tc>
          <w:tcPr>
            <w:tcW w:type="dxa" w:w="4968"/>
            <w:vAlign w:val="center"/>
          </w:tcPr>
          <w:p>
            <w:r/>
            <w:r>
              <w:rPr>
                <w:rFonts w:ascii="Aptos" w:hAnsi="Aptos"/>
                <w:b w:val="0"/>
                <w:sz w:val="19"/>
              </w:rPr>
              <w:t>Sterling and the Counterfeiter</w:t>
            </w:r>
          </w:p>
        </w:tc>
      </w:tr>
      <w:tr>
        <w:tc>
          <w:tcPr>
            <w:tcW w:type="dxa" w:w="4968"/>
            <w:vAlign w:val="center"/>
            <w:shd w:fill="FFF2CC"/>
          </w:tcPr>
          <w:p>
            <w:r/>
            <w:r>
              <w:rPr>
                <w:rFonts w:ascii="Aptos" w:hAnsi="Aptos"/>
                <w:b/>
                <w:color w:val="7F6000"/>
                <w:sz w:val="19"/>
              </w:rPr>
              <w:t>Shared Creation vs. Possessive Hoarding</w:t>
            </w:r>
          </w:p>
        </w:tc>
        <w:tc>
          <w:tcPr>
            <w:tcW w:type="dxa" w:w="4968"/>
            <w:vAlign w:val="center"/>
          </w:tcPr>
          <w:p>
            <w:r/>
            <w:r>
              <w:rPr>
                <w:rFonts w:ascii="Aptos" w:hAnsi="Aptos"/>
                <w:b w:val="0"/>
                <w:sz w:val="19"/>
              </w:rPr>
              <w:t>Forge and the Hoarder</w:t>
            </w:r>
          </w:p>
        </w:tc>
      </w:tr>
      <w:tr>
        <w:tc>
          <w:tcPr>
            <w:tcW w:type="dxa" w:w="4968"/>
            <w:vAlign w:val="center"/>
            <w:shd w:fill="FFF2CC"/>
          </w:tcPr>
          <w:p>
            <w:r/>
            <w:r>
              <w:rPr>
                <w:rFonts w:ascii="Aptos" w:hAnsi="Aptos"/>
                <w:b/>
                <w:color w:val="7F6000"/>
                <w:sz w:val="19"/>
              </w:rPr>
              <w:t>Protection vs. Illicit Movement</w:t>
            </w:r>
          </w:p>
        </w:tc>
        <w:tc>
          <w:tcPr>
            <w:tcW w:type="dxa" w:w="4968"/>
            <w:vAlign w:val="center"/>
          </w:tcPr>
          <w:p>
            <w:r/>
            <w:r>
              <w:rPr>
                <w:rFonts w:ascii="Aptos" w:hAnsi="Aptos"/>
                <w:b w:val="0"/>
                <w:sz w:val="19"/>
              </w:rPr>
              <w:t>Porter and the Smuggler</w:t>
            </w:r>
          </w:p>
        </w:tc>
      </w:tr>
      <w:tr>
        <w:tc>
          <w:tcPr>
            <w:tcW w:type="dxa" w:w="4968"/>
            <w:vAlign w:val="center"/>
            <w:shd w:fill="FFF2CC"/>
          </w:tcPr>
          <w:p>
            <w:r/>
            <w:r>
              <w:rPr>
                <w:rFonts w:ascii="Aptos" w:hAnsi="Aptos"/>
                <w:b/>
                <w:color w:val="7F6000"/>
                <w:sz w:val="19"/>
              </w:rPr>
              <w:t>Open Knowledge vs. Restricted Knowledge</w:t>
            </w:r>
          </w:p>
        </w:tc>
        <w:tc>
          <w:tcPr>
            <w:tcW w:type="dxa" w:w="4968"/>
            <w:vAlign w:val="center"/>
          </w:tcPr>
          <w:p>
            <w:r/>
            <w:r>
              <w:rPr>
                <w:rFonts w:ascii="Aptos" w:hAnsi="Aptos"/>
                <w:b w:val="0"/>
                <w:sz w:val="19"/>
              </w:rPr>
              <w:t>Echo's continuing thematic domain</w:t>
            </w:r>
          </w:p>
        </w:tc>
      </w:tr>
    </w:tbl>
    <w:p>
      <w:pPr>
        <w:pStyle w:val="CVHeading1"/>
      </w:pPr>
      <w:r>
        <w:t>9. Worldbuilding Boundaries</w:t>
      </w:r>
    </w:p>
    <w:p>
      <w:pPr>
        <w:pStyle w:val="ListBullet"/>
      </w:pPr>
      <w:r>
        <w:t>Collectibles must remain central to the setting rather than becoming decorative background objects.</w:t>
      </w:r>
    </w:p>
    <w:p>
      <w:pPr>
        <w:pStyle w:val="ListBullet"/>
      </w:pPr>
      <w:r>
        <w:t>Magic-like effects should normally be explained through technology, memory visualization, symbolism, or stylized storytelling.</w:t>
      </w:r>
    </w:p>
    <w:p>
      <w:pPr>
        <w:pStyle w:val="ListBullet"/>
      </w:pPr>
      <w:r>
        <w:t>The world must not become dystopian, militarized, or excessively grim.</w:t>
      </w:r>
    </w:p>
    <w:p>
      <w:pPr>
        <w:pStyle w:val="ListBullet"/>
      </w:pPr>
      <w:r>
        <w:t>Villains may threaten ownership, authenticity, access, knowledge, or cultural memory, but should remain franchise-appropriate.</w:t>
      </w:r>
    </w:p>
    <w:p>
      <w:pPr>
        <w:pStyle w:val="ListBullet"/>
      </w:pPr>
      <w:r>
        <w:t>Real-world collecting practices should be represented respectfully and accurately enough to retain collector credibility.</w:t>
      </w:r>
    </w:p>
    <w:p>
      <w:pPr>
        <w:pStyle w:val="ListBullet"/>
      </w:pPr>
      <w:r>
        <w:t>The setting must support both standalone adventures and long-form franchise continuity.</w:t>
      </w:r>
    </w:p>
    <w:p>
      <w:pPr>
        <w:pStyle w:val="CVHeading1"/>
      </w:pPr>
      <w:r>
        <w:t>10. Production Application</w:t>
      </w:r>
    </w:p>
    <w:p>
      <w:r>
        <w:t>All future world documents, scripts, episodes, games, environments, products, and marketing materials should be evaluated against this foundation. Later World Bible parts may add detail, but they may not contradict these principles without formal canon review.</w:t>
      </w:r>
    </w:p>
    <w:p>
      <w:pPr>
        <w:pStyle w:val="CVHeading1"/>
      </w:pPr>
      <w:r>
        <w:t>11. Volume 03 Development Roadmap</w:t>
      </w:r>
    </w:p>
    <w:p>
      <w:pPr>
        <w:pStyle w:val="ListNumber"/>
      </w:pPr>
      <w:r>
        <w:t>Part 01 — Executive Overview &amp; World Canon Foundation</w:t>
      </w:r>
    </w:p>
    <w:p>
      <w:pPr>
        <w:pStyle w:val="ListNumber"/>
      </w:pPr>
      <w:r>
        <w:t>Part 02 — World Philosophy, Themes &amp; Narrative Logic</w:t>
      </w:r>
    </w:p>
    <w:p>
      <w:pPr>
        <w:pStyle w:val="ListNumber"/>
      </w:pPr>
      <w:r>
        <w:t>Part 03 — Historical Timeline &amp; Foundational Eras</w:t>
      </w:r>
    </w:p>
    <w:p>
      <w:pPr>
        <w:pStyle w:val="ListNumber"/>
      </w:pPr>
      <w:r>
        <w:t>Part 04 — Geography, Regions &amp; Global Structure</w:t>
      </w:r>
    </w:p>
    <w:p>
      <w:pPr>
        <w:pStyle w:val="ListNumber"/>
      </w:pPr>
      <w:r>
        <w:t>Part 05 — Keeper Headquarters &amp; Core Facilities</w:t>
      </w:r>
    </w:p>
    <w:p>
      <w:pPr>
        <w:pStyle w:val="ListNumber"/>
      </w:pPr>
      <w:r>
        <w:t>Part 06 — Syndicate Territories &amp; Hidden Infrastructure</w:t>
      </w:r>
    </w:p>
    <w:p>
      <w:pPr>
        <w:pStyle w:val="ListNumber"/>
      </w:pPr>
      <w:r>
        <w:t>Part 07 — Museums, Archives, Vaults &amp; Repositories</w:t>
      </w:r>
    </w:p>
    <w:p>
      <w:pPr>
        <w:pStyle w:val="ListNumber"/>
      </w:pPr>
      <w:r>
        <w:t>Part 08 — Markets, Auctions, Shows &amp; Commercial Districts</w:t>
      </w:r>
    </w:p>
    <w:p>
      <w:pPr>
        <w:pStyle w:val="ListNumber"/>
      </w:pPr>
      <w:r>
        <w:t>Part 09 — Technology, Authentication &amp; Provenance Systems</w:t>
      </w:r>
    </w:p>
    <w:p>
      <w:pPr>
        <w:pStyle w:val="ListNumber"/>
      </w:pPr>
      <w:r>
        <w:t>Part 10 — Transportation, Logistics &amp; Secure Movement</w:t>
      </w:r>
    </w:p>
    <w:p>
      <w:pPr>
        <w:pStyle w:val="ListNumber"/>
      </w:pPr>
      <w:r>
        <w:t>Part 11 — Institutions, Organizations &amp; Governance</w:t>
      </w:r>
    </w:p>
    <w:p>
      <w:pPr>
        <w:pStyle w:val="ListNumber"/>
      </w:pPr>
      <w:r>
        <w:t>Part 12 — Culture, Daily Life &amp; Collector Communities</w:t>
      </w:r>
    </w:p>
    <w:p>
      <w:pPr>
        <w:pStyle w:val="ListNumber"/>
      </w:pPr>
      <w:r>
        <w:t>Part 13 — Threat Classes, Crime &amp; World Security</w:t>
      </w:r>
    </w:p>
    <w:p>
      <w:pPr>
        <w:pStyle w:val="ListNumber"/>
      </w:pPr>
      <w:r>
        <w:t>Part 14 — Environmental and Architectural Design Standards</w:t>
      </w:r>
    </w:p>
    <w:p>
      <w:pPr>
        <w:pStyle w:val="ListNumber"/>
      </w:pPr>
      <w:r>
        <w:t>Part 15 — World Continuity, Expansion &amp; Canon Lock</w:t>
      </w:r>
    </w:p>
    <w:p>
      <w:pPr>
        <w:pStyle w:val="CVHeading1"/>
      </w:pPr>
      <w:r>
        <w:t>12. Canon Status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9"/>
              </w:rPr>
              <w:t>World Foundation</w:t>
            </w:r>
          </w:p>
        </w:tc>
        <w:tc>
          <w:tcPr>
            <w:tcW w:type="dxa" w:w="4968"/>
            <w:vAlign w:val="center"/>
            <w:shd w:fill="D9EAF7"/>
          </w:tcPr>
          <w:p>
            <w:r/>
            <w:r>
              <w:rPr>
                <w:rFonts w:ascii="Aptos" w:hAnsi="Aptos"/>
                <w:b/>
                <w:color w:val="17365D"/>
                <w:sz w:val="19"/>
              </w:rPr>
              <w:t>LOCKED</w:t>
            </w:r>
          </w:p>
        </w:tc>
      </w:tr>
      <w:tr>
        <w:tc>
          <w:tcPr>
            <w:tcW w:type="dxa" w:w="4968"/>
            <w:vAlign w:val="center"/>
            <w:shd w:fill="17365D"/>
          </w:tcPr>
          <w:p>
            <w:r/>
            <w:r>
              <w:rPr>
                <w:rFonts w:ascii="Aptos" w:hAnsi="Aptos"/>
                <w:b/>
                <w:color w:val="FFFFFF"/>
                <w:sz w:val="19"/>
              </w:rPr>
              <w:t>Future Expansion</w:t>
            </w:r>
          </w:p>
        </w:tc>
        <w:tc>
          <w:tcPr>
            <w:tcW w:type="dxa" w:w="4968"/>
            <w:vAlign w:val="center"/>
            <w:shd w:fill="D9EAF7"/>
          </w:tcPr>
          <w:p>
            <w:r/>
            <w:r>
              <w:rPr>
                <w:rFonts w:ascii="Aptos" w:hAnsi="Aptos"/>
                <w:b/>
                <w:color w:val="17365D"/>
                <w:sz w:val="19"/>
              </w:rPr>
              <w:t>PERMITTED WITHIN ESTABLISHED RULES</w:t>
            </w:r>
          </w:p>
        </w:tc>
      </w:tr>
      <w:tr>
        <w:tc>
          <w:tcPr>
            <w:tcW w:type="dxa" w:w="4968"/>
            <w:vAlign w:val="center"/>
            <w:shd w:fill="17365D"/>
          </w:tcPr>
          <w:p>
            <w:r/>
            <w:r>
              <w:rPr>
                <w:rFonts w:ascii="Aptos" w:hAnsi="Aptos"/>
                <w:b/>
                <w:color w:val="FFFFFF"/>
                <w:sz w:val="19"/>
              </w:rPr>
              <w:t>Contradictory Material</w:t>
            </w:r>
          </w:p>
        </w:tc>
        <w:tc>
          <w:tcPr>
            <w:tcW w:type="dxa" w:w="4968"/>
            <w:vAlign w:val="center"/>
            <w:shd w:fill="D9EAF7"/>
          </w:tcPr>
          <w:p>
            <w:r/>
            <w:r>
              <w:rPr>
                <w:rFonts w:ascii="Aptos" w:hAnsi="Aptos"/>
                <w:b/>
                <w:color w:val="17365D"/>
                <w:sz w:val="19"/>
              </w:rPr>
              <w:t>REQUIRES FORMAL REVIEW</w:t>
            </w:r>
          </w:p>
        </w:tc>
      </w:tr>
      <w:tr>
        <w:tc>
          <w:tcPr>
            <w:tcW w:type="dxa" w:w="4968"/>
            <w:vAlign w:val="center"/>
            <w:shd w:fill="17365D"/>
          </w:tcPr>
          <w:p>
            <w:r/>
            <w:r>
              <w:rPr>
                <w:rFonts w:ascii="Aptos" w:hAnsi="Aptos"/>
                <w:b/>
                <w:color w:val="FFFFFF"/>
                <w:sz w:val="19"/>
              </w:rPr>
              <w:t>Production Authority</w:t>
            </w:r>
          </w:p>
        </w:tc>
        <w:tc>
          <w:tcPr>
            <w:tcW w:type="dxa" w:w="4968"/>
            <w:vAlign w:val="center"/>
            <w:shd w:fill="D9EAF7"/>
          </w:tcPr>
          <w:p>
            <w:r/>
            <w:r>
              <w:rPr>
                <w:rFonts w:ascii="Aptos" w:hAnsi="Aptos"/>
                <w:b/>
                <w:color w:val="17365D"/>
                <w:sz w:val="19"/>
              </w:rPr>
              <w:t>COLLECTIVERSE STUDIO</w:t>
            </w:r>
          </w:p>
        </w:tc>
      </w:tr>
    </w:tbl>
    <w:p/>
    <w:p>
      <w:pPr>
        <w:jc w:val="center"/>
      </w:pPr>
      <w:r>
        <w:rPr>
          <w:b/>
          <w:color w:val="7F7F7F"/>
          <w:sz w:val="18"/>
        </w:rPr>
        <w:t>END OF VOLUME 03 — PART 01</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Collectiverse Studio — Volume 03 World Bible — Confidential Production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Title">
    <w:name w:val="CV Title"/>
    <w:pPr>
      <w:spacing w:after="120"/>
    </w:pPr>
    <w:rPr>
      <w:rFonts w:ascii="Aptos Display" w:hAnsi="Aptos Display"/>
      <w:b/>
      <w:color w:val="17365D"/>
      <w:sz w:val="48"/>
    </w:rPr>
  </w:style>
  <w:style w:type="paragraph" w:customStyle="1" w:styleId="CVSubtitle">
    <w:name w:val="CV Subtitle"/>
    <w:pPr>
      <w:spacing w:after="120"/>
    </w:pPr>
    <w:rPr>
      <w:rFonts w:ascii="Aptos" w:hAnsi="Aptos"/>
      <w:b w:val="0"/>
      <w:color w:val="2F5597"/>
      <w:sz w:val="28"/>
    </w:rPr>
  </w:style>
  <w:style w:type="paragraph" w:customStyle="1" w:styleId="CVHeading1">
    <w:name w:val="CV Heading 1"/>
    <w:pPr>
      <w:spacing w:after="120"/>
    </w:pPr>
    <w:rPr>
      <w:rFonts w:ascii="Aptos Display" w:hAnsi="Aptos Display"/>
      <w:b/>
      <w:color w:val="17365D"/>
      <w:sz w:val="32"/>
    </w:rPr>
  </w:style>
  <w:style w:type="paragraph" w:customStyle="1" w:styleId="CVHeading2">
    <w:name w:val="CV Heading 2"/>
    <w:pPr>
      <w:spacing w:after="120"/>
    </w:pPr>
    <w:rPr>
      <w:rFonts w:ascii="Aptos Display" w:hAnsi="Aptos Display"/>
      <w:b/>
      <w:color w:val="2F5597"/>
      <w:sz w:val="24"/>
    </w:rPr>
  </w:style>
  <w:style w:type="paragraph" w:customStyle="1" w:styleId="CVCallout">
    <w:name w:val="CV Callout"/>
    <w:pPr>
      <w:spacing w:after="120"/>
    </w:pPr>
    <w:rPr>
      <w:rFonts w:ascii="Aptos" w:hAnsi="Aptos"/>
      <w:b w:val="0"/>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