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03 — World Bible</w:t>
      </w:r>
    </w:p>
    <w:p>
      <w:pPr>
        <w:jc w:val="center"/>
      </w:pPr>
      <w:r>
        <w:rPr>
          <w:b/>
          <w:sz w:val="36"/>
        </w:rPr>
        <w:t>Part 10 — Transportation, Logistics &amp; Secure Movement</w:t>
      </w:r>
    </w:p>
    <w:p>
      <w:pPr>
        <w:pStyle w:val="Heading1"/>
      </w:pPr>
      <w:r>
        <w:t>Purpose</w:t>
      </w:r>
    </w:p>
    <w:p>
      <w:r>
        <w:t>This document establishes the canonical logistics framework for transporting collectibles safely, securely, and with a verifiable chain of custody across the Collectiverse.</w:t>
      </w:r>
    </w:p>
    <w:p>
      <w:pPr>
        <w:pStyle w:val="Heading1"/>
      </w:pPr>
      <w:r>
        <w:t>Core Philosophy</w:t>
      </w:r>
    </w:p>
    <w:p>
      <w:r>
        <w:t>Moving a collectible is an act of stewardship. Every transfer must protect the object, preserve its documented history, and maintain trust between all participants.</w:t>
      </w:r>
    </w:p>
    <w:p>
      <w:pPr>
        <w:pStyle w:val="Heading1"/>
      </w:pPr>
      <w:r>
        <w:t>Transportation Network</w:t>
      </w:r>
    </w:p>
    <w:tbl>
      <w:tblPr>
        <w:tblStyle w:val="TableGrid"/>
        <w:tblW w:type="auto" w:w="0"/>
        <w:tblLook w:firstColumn="1" w:firstRow="1" w:lastColumn="0" w:lastRow="0" w:noHBand="0" w:noVBand="1" w:val="04A0"/>
      </w:tblPr>
      <w:tblGrid>
        <w:gridCol w:w="3312"/>
        <w:gridCol w:w="3312"/>
        <w:gridCol w:w="3312"/>
      </w:tblGrid>
      <w:tr>
        <w:tc>
          <w:tcPr>
            <w:tcW w:type="dxa" w:w="3312"/>
          </w:tcPr>
          <w:p>
            <w:r>
              <w:t>Network</w:t>
            </w:r>
          </w:p>
        </w:tc>
        <w:tc>
          <w:tcPr>
            <w:tcW w:type="dxa" w:w="3312"/>
          </w:tcPr>
          <w:p>
            <w:r>
              <w:t>Purpose</w:t>
            </w:r>
          </w:p>
        </w:tc>
        <w:tc>
          <w:tcPr>
            <w:tcW w:type="dxa" w:w="3312"/>
          </w:tcPr>
          <w:p>
            <w:r>
              <w:t>Primary Users</w:t>
            </w:r>
          </w:p>
        </w:tc>
      </w:tr>
      <w:tr>
        <w:tc>
          <w:tcPr>
            <w:tcW w:type="dxa" w:w="3312"/>
          </w:tcPr>
          <w:p>
            <w:r>
              <w:t>Keeper Secure Transit</w:t>
            </w:r>
          </w:p>
        </w:tc>
        <w:tc>
          <w:tcPr>
            <w:tcW w:type="dxa" w:w="3312"/>
          </w:tcPr>
          <w:p>
            <w:r>
              <w:t>High-value and mission-critical transport</w:t>
            </w:r>
          </w:p>
        </w:tc>
        <w:tc>
          <w:tcPr>
            <w:tcW w:type="dxa" w:w="3312"/>
          </w:tcPr>
          <w:p>
            <w:r>
              <w:t>Keepers</w:t>
            </w:r>
          </w:p>
        </w:tc>
      </w:tr>
      <w:tr>
        <w:tc>
          <w:tcPr>
            <w:tcW w:type="dxa" w:w="3312"/>
          </w:tcPr>
          <w:p>
            <w:r>
              <w:t>Certified Logistics Partners</w:t>
            </w:r>
          </w:p>
        </w:tc>
        <w:tc>
          <w:tcPr>
            <w:tcW w:type="dxa" w:w="3312"/>
          </w:tcPr>
          <w:p>
            <w:r>
              <w:t>Routine insured shipments</w:t>
            </w:r>
          </w:p>
        </w:tc>
        <w:tc>
          <w:tcPr>
            <w:tcW w:type="dxa" w:w="3312"/>
          </w:tcPr>
          <w:p>
            <w:r>
              <w:t>Collectors &amp; Dealers</w:t>
            </w:r>
          </w:p>
        </w:tc>
      </w:tr>
      <w:tr>
        <w:tc>
          <w:tcPr>
            <w:tcW w:type="dxa" w:w="3312"/>
          </w:tcPr>
          <w:p>
            <w:r>
              <w:t>Museum Transfer Network</w:t>
            </w:r>
          </w:p>
        </w:tc>
        <w:tc>
          <w:tcPr>
            <w:tcW w:type="dxa" w:w="3312"/>
          </w:tcPr>
          <w:p>
            <w:r>
              <w:t>Institution-to-institution movement</w:t>
            </w:r>
          </w:p>
        </w:tc>
        <w:tc>
          <w:tcPr>
            <w:tcW w:type="dxa" w:w="3312"/>
          </w:tcPr>
          <w:p>
            <w:r>
              <w:t>Museums</w:t>
            </w:r>
          </w:p>
        </w:tc>
      </w:tr>
      <w:tr>
        <w:tc>
          <w:tcPr>
            <w:tcW w:type="dxa" w:w="3312"/>
          </w:tcPr>
          <w:p>
            <w:r>
              <w:t>Convention Logistics</w:t>
            </w:r>
          </w:p>
        </w:tc>
        <w:tc>
          <w:tcPr>
            <w:tcW w:type="dxa" w:w="3312"/>
          </w:tcPr>
          <w:p>
            <w:r>
              <w:t>Temporary event movement</w:t>
            </w:r>
          </w:p>
        </w:tc>
        <w:tc>
          <w:tcPr>
            <w:tcW w:type="dxa" w:w="3312"/>
          </w:tcPr>
          <w:p>
            <w:r>
              <w:t>Organizers</w:t>
            </w:r>
          </w:p>
        </w:tc>
      </w:tr>
      <w:tr>
        <w:tc>
          <w:tcPr>
            <w:tcW w:type="dxa" w:w="3312"/>
          </w:tcPr>
          <w:p>
            <w:r>
              <w:t>Emergency Recovery Units</w:t>
            </w:r>
          </w:p>
        </w:tc>
        <w:tc>
          <w:tcPr>
            <w:tcW w:type="dxa" w:w="3312"/>
          </w:tcPr>
          <w:p>
            <w:r>
              <w:t>Disaster response and salvage</w:t>
            </w:r>
          </w:p>
        </w:tc>
        <w:tc>
          <w:tcPr>
            <w:tcW w:type="dxa" w:w="3312"/>
          </w:tcPr>
          <w:p>
            <w:r>
              <w:t>Keeper Teams</w:t>
            </w:r>
          </w:p>
        </w:tc>
      </w:tr>
      <w:tr>
        <w:tc>
          <w:tcPr>
            <w:tcW w:type="dxa" w:w="3312"/>
          </w:tcPr>
          <w:p>
            <w:r>
              <w:t>Digital Tracking Network</w:t>
            </w:r>
          </w:p>
        </w:tc>
        <w:tc>
          <w:tcPr>
            <w:tcW w:type="dxa" w:w="3312"/>
          </w:tcPr>
          <w:p>
            <w:r>
              <w:t>Real-time chain-of-custody updates</w:t>
            </w:r>
          </w:p>
        </w:tc>
        <w:tc>
          <w:tcPr>
            <w:tcW w:type="dxa" w:w="3312"/>
          </w:tcPr>
          <w:p>
            <w:r>
              <w:t>Authorized users</w:t>
            </w:r>
          </w:p>
        </w:tc>
      </w:tr>
    </w:tbl>
    <w:p>
      <w:pPr>
        <w:pStyle w:val="Heading1"/>
      </w:pPr>
      <w:r>
        <w:t>Chain of Custody Standards</w:t>
      </w:r>
    </w:p>
    <w:p>
      <w:pPr>
        <w:pStyle w:val="ListBullet"/>
      </w:pPr>
      <w:r>
        <w:t>Every custody transfer is recorded.</w:t>
      </w:r>
    </w:p>
    <w:p>
      <w:pPr>
        <w:pStyle w:val="ListBullet"/>
      </w:pPr>
      <w:r>
        <w:t>Custodian identity is verified before release.</w:t>
      </w:r>
    </w:p>
    <w:p>
      <w:pPr>
        <w:pStyle w:val="ListBullet"/>
      </w:pPr>
      <w:r>
        <w:t>Condition is documented at every handoff.</w:t>
      </w:r>
    </w:p>
    <w:p>
      <w:pPr>
        <w:pStyle w:val="ListBullet"/>
      </w:pPr>
      <w:r>
        <w:t>Passport records are updated after verified receipt.</w:t>
      </w:r>
    </w:p>
    <w:p>
      <w:pPr>
        <w:pStyle w:val="ListBullet"/>
      </w:pPr>
      <w:r>
        <w:t>Exceptions require documented review.</w:t>
      </w:r>
    </w:p>
    <w:p>
      <w:pPr>
        <w:pStyle w:val="Heading1"/>
      </w:pPr>
      <w:r>
        <w:t>Packaging &amp; Preservation</w:t>
      </w:r>
    </w:p>
    <w:p>
      <w:pPr>
        <w:pStyle w:val="ListBullet"/>
      </w:pPr>
      <w:r>
        <w:t>Use archival-quality storage materials.</w:t>
      </w:r>
    </w:p>
    <w:p>
      <w:pPr>
        <w:pStyle w:val="ListBullet"/>
      </w:pPr>
      <w:r>
        <w:t>Environmental risks are minimized.</w:t>
      </w:r>
    </w:p>
    <w:p>
      <w:pPr>
        <w:pStyle w:val="ListBullet"/>
      </w:pPr>
      <w:r>
        <w:t>Shock, vibration, moisture, and UV exposure are controlled.</w:t>
      </w:r>
    </w:p>
    <w:p>
      <w:pPr>
        <w:pStyle w:val="ListBullet"/>
      </w:pPr>
      <w:r>
        <w:t>Tamper-evident packaging is used for sensitive shipments.</w:t>
      </w:r>
    </w:p>
    <w:p>
      <w:pPr>
        <w:pStyle w:val="ListBullet"/>
      </w:pPr>
      <w:r>
        <w:t>High-value items may require climate-controlled transport.</w:t>
      </w:r>
    </w:p>
    <w:p>
      <w:pPr>
        <w:pStyle w:val="Heading1"/>
      </w:pPr>
      <w:r>
        <w:t>Threat Model</w:t>
      </w:r>
    </w:p>
    <w:p>
      <w:r>
        <w:t>The Syndicate targets weak documentation, insecure shipments, forged paperwork, compromised routing, and poorly protected storage. Keeper logistics are designed to detect, deter, and recover from these threats without disrupting legitimate commerce.</w:t>
      </w:r>
    </w:p>
    <w:p>
      <w:pPr>
        <w:pStyle w:val="Heading1"/>
      </w:pPr>
      <w:r>
        <w:t>Operational Principles</w:t>
      </w:r>
    </w:p>
    <w:p>
      <w:pPr>
        <w:pStyle w:val="ListBullet"/>
      </w:pPr>
      <w:r>
        <w:t>Security should not unnecessarily reduce accessibility.</w:t>
      </w:r>
    </w:p>
    <w:p>
      <w:pPr>
        <w:pStyle w:val="ListBullet"/>
      </w:pPr>
      <w:r>
        <w:t>Transportation systems remain globally interoperable.</w:t>
      </w:r>
    </w:p>
    <w:p>
      <w:pPr>
        <w:pStyle w:val="ListBullet"/>
      </w:pPr>
      <w:r>
        <w:t>Collectors receive clear shipment visibility.</w:t>
      </w:r>
    </w:p>
    <w:p>
      <w:pPr>
        <w:pStyle w:val="ListBullet"/>
      </w:pPr>
      <w:r>
        <w:t>Preservation takes precedence over delivery speed.</w:t>
      </w:r>
    </w:p>
    <w:p>
      <w:pPr>
        <w:pStyle w:val="ListBullet"/>
      </w:pPr>
      <w:r>
        <w:t>Evidence always accompanies the object.</w:t>
      </w:r>
    </w:p>
    <w:p>
      <w:pPr>
        <w:pStyle w:val="Heading1"/>
      </w:pPr>
      <w:r>
        <w:t>Future Expansion</w:t>
      </w:r>
    </w:p>
    <w:p>
      <w:pPr>
        <w:pStyle w:val="ListNumber"/>
      </w:pPr>
      <w:r>
        <w:t>Autonomous secure transport</w:t>
      </w:r>
    </w:p>
    <w:p>
      <w:pPr>
        <w:pStyle w:val="ListNumber"/>
      </w:pPr>
      <w:r>
        <w:t>International preservation corridors</w:t>
      </w:r>
    </w:p>
    <w:p>
      <w:pPr>
        <w:pStyle w:val="ListNumber"/>
      </w:pPr>
      <w:r>
        <w:t>Smart environmental containers</w:t>
      </w:r>
    </w:p>
    <w:p>
      <w:pPr>
        <w:pStyle w:val="ListNumber"/>
      </w:pPr>
      <w:r>
        <w:t>Passport-linked shipment verification</w:t>
      </w:r>
    </w:p>
    <w:p>
      <w:pPr>
        <w:pStyle w:val="ListNumber"/>
      </w:pPr>
      <w:r>
        <w:t>Global emergency recovery teams</w:t>
      </w:r>
    </w:p>
    <w:p>
      <w:pPr>
        <w:pStyle w:val="ListNumber"/>
      </w:pPr>
      <w:r>
        <w:t>Advanced logistics analytics</w:t>
      </w:r>
    </w:p>
    <w:p>
      <w:pPr>
        <w:pStyle w:val="Heading1"/>
      </w:pPr>
      <w:r>
        <w:t>Canon Status</w:t>
      </w:r>
    </w:p>
    <w:p>
      <w:r>
        <w:t>LOCKED — All future logistics systems must preserve chain of custody, authenticity, transparency, and responsible stewardship.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