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11 — Institutions, Organizations &amp; Governance</w:t>
      </w:r>
    </w:p>
    <w:p>
      <w:pPr>
        <w:pStyle w:val="Heading1"/>
      </w:pPr>
      <w:r>
        <w:t>Purpose</w:t>
      </w:r>
    </w:p>
    <w:p>
      <w:r>
        <w:t>This document defines the institutional framework of the Collectiverse. It establishes how organizations cooperate to preserve collectibles, share knowledge, promote ethical collecting, and maintain public trust.</w:t>
      </w:r>
    </w:p>
    <w:p>
      <w:pPr>
        <w:pStyle w:val="Heading1"/>
      </w:pPr>
      <w:r>
        <w:t>Governance Philosophy</w:t>
      </w:r>
    </w:p>
    <w:p>
      <w:r>
        <w:t>The Collectiverse is built on cooperation rather than centralized control. Independent organizations maintain their own expertise while collaborating through common standards, transparency, and mutual respect.</w:t>
      </w:r>
    </w:p>
    <w:p>
      <w:pPr>
        <w:pStyle w:val="Heading1"/>
      </w:pPr>
      <w:r>
        <w:t>Major Institutions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Organization</w:t>
            </w:r>
          </w:p>
        </w:tc>
        <w:tc>
          <w:tcPr>
            <w:tcW w:type="dxa" w:w="2484"/>
          </w:tcPr>
          <w:p>
            <w:r>
              <w:t>Primary Mission</w:t>
            </w:r>
          </w:p>
        </w:tc>
        <w:tc>
          <w:tcPr>
            <w:tcW w:type="dxa" w:w="2484"/>
          </w:tcPr>
          <w:p>
            <w:r>
              <w:t>Leadership</w:t>
            </w:r>
          </w:p>
        </w:tc>
        <w:tc>
          <w:tcPr>
            <w:tcW w:type="dxa" w:w="2484"/>
          </w:tcPr>
          <w:p>
            <w:r>
              <w:t>Relationship to Keepers</w:t>
            </w:r>
          </w:p>
        </w:tc>
      </w:tr>
      <w:tr>
        <w:tc>
          <w:tcPr>
            <w:tcW w:type="dxa" w:w="2484"/>
          </w:tcPr>
          <w:p>
            <w:r>
              <w:t>Keeper Organization</w:t>
            </w:r>
          </w:p>
        </w:tc>
        <w:tc>
          <w:tcPr>
            <w:tcW w:type="dxa" w:w="2484"/>
          </w:tcPr>
          <w:p>
            <w:r>
              <w:t>Global preservation and response</w:t>
            </w:r>
          </w:p>
        </w:tc>
        <w:tc>
          <w:tcPr>
            <w:tcW w:type="dxa" w:w="2484"/>
          </w:tcPr>
          <w:p>
            <w:r>
              <w:t>Atlas</w:t>
            </w:r>
          </w:p>
        </w:tc>
        <w:tc>
          <w:tcPr>
            <w:tcW w:type="dxa" w:w="2484"/>
          </w:tcPr>
          <w:p>
            <w:r>
              <w:t>Core organization</w:t>
            </w:r>
          </w:p>
        </w:tc>
      </w:tr>
      <w:tr>
        <w:tc>
          <w:tcPr>
            <w:tcW w:type="dxa" w:w="2484"/>
          </w:tcPr>
          <w:p>
            <w:r>
              <w:t>Museums &amp; Archives</w:t>
            </w:r>
          </w:p>
        </w:tc>
        <w:tc>
          <w:tcPr>
            <w:tcW w:type="dxa" w:w="2484"/>
          </w:tcPr>
          <w:p>
            <w:r>
              <w:t>Preserve and educate</w:t>
            </w:r>
          </w:p>
        </w:tc>
        <w:tc>
          <w:tcPr>
            <w:tcW w:type="dxa" w:w="2484"/>
          </w:tcPr>
          <w:p>
            <w:r>
              <w:t>Curators</w:t>
            </w:r>
          </w:p>
        </w:tc>
        <w:tc>
          <w:tcPr>
            <w:tcW w:type="dxa" w:w="2484"/>
          </w:tcPr>
          <w:p>
            <w:r>
              <w:t>Strategic partners</w:t>
            </w:r>
          </w:p>
        </w:tc>
      </w:tr>
      <w:tr>
        <w:tc>
          <w:tcPr>
            <w:tcW w:type="dxa" w:w="2484"/>
          </w:tcPr>
          <w:p>
            <w:r>
              <w:t>Authentication Institutes</w:t>
            </w:r>
          </w:p>
        </w:tc>
        <w:tc>
          <w:tcPr>
            <w:tcW w:type="dxa" w:w="2484"/>
          </w:tcPr>
          <w:p>
            <w:r>
              <w:t>Verification and research</w:t>
            </w:r>
          </w:p>
        </w:tc>
        <w:tc>
          <w:tcPr>
            <w:tcW w:type="dxa" w:w="2484"/>
          </w:tcPr>
          <w:p>
            <w:r>
              <w:t>Experts</w:t>
            </w:r>
          </w:p>
        </w:tc>
        <w:tc>
          <w:tcPr>
            <w:tcW w:type="dxa" w:w="2484"/>
          </w:tcPr>
          <w:p>
            <w:r>
              <w:t>Technical partners</w:t>
            </w:r>
          </w:p>
        </w:tc>
      </w:tr>
      <w:tr>
        <w:tc>
          <w:tcPr>
            <w:tcW w:type="dxa" w:w="2484"/>
          </w:tcPr>
          <w:p>
            <w:r>
              <w:t>Collector Associations</w:t>
            </w:r>
          </w:p>
        </w:tc>
        <w:tc>
          <w:tcPr>
            <w:tcW w:type="dxa" w:w="2484"/>
          </w:tcPr>
          <w:p>
            <w:r>
              <w:t>Community building</w:t>
            </w:r>
          </w:p>
        </w:tc>
        <w:tc>
          <w:tcPr>
            <w:tcW w:type="dxa" w:w="2484"/>
          </w:tcPr>
          <w:p>
            <w:r>
              <w:t>Elected boards</w:t>
            </w:r>
          </w:p>
        </w:tc>
        <w:tc>
          <w:tcPr>
            <w:tcW w:type="dxa" w:w="2484"/>
          </w:tcPr>
          <w:p>
            <w:r>
              <w:t>Public engagement</w:t>
            </w:r>
          </w:p>
        </w:tc>
      </w:tr>
      <w:tr>
        <w:tc>
          <w:tcPr>
            <w:tcW w:type="dxa" w:w="2484"/>
          </w:tcPr>
          <w:p>
            <w:r>
              <w:t>Educational Partners</w:t>
            </w:r>
          </w:p>
        </w:tc>
        <w:tc>
          <w:tcPr>
            <w:tcW w:type="dxa" w:w="2484"/>
          </w:tcPr>
          <w:p>
            <w:r>
              <w:t>Training and outreach</w:t>
            </w:r>
          </w:p>
        </w:tc>
        <w:tc>
          <w:tcPr>
            <w:tcW w:type="dxa" w:w="2484"/>
          </w:tcPr>
          <w:p>
            <w:r>
              <w:t>Educators</w:t>
            </w:r>
          </w:p>
        </w:tc>
        <w:tc>
          <w:tcPr>
            <w:tcW w:type="dxa" w:w="2484"/>
          </w:tcPr>
          <w:p>
            <w:r>
              <w:t>Knowledge sharing</w:t>
            </w:r>
          </w:p>
        </w:tc>
      </w:tr>
      <w:tr>
        <w:tc>
          <w:tcPr>
            <w:tcW w:type="dxa" w:w="2484"/>
          </w:tcPr>
          <w:p>
            <w:r>
              <w:t>Government Heritage Agencies</w:t>
            </w:r>
          </w:p>
        </w:tc>
        <w:tc>
          <w:tcPr>
            <w:tcW w:type="dxa" w:w="2484"/>
          </w:tcPr>
          <w:p>
            <w:r>
              <w:t>Protect cultural heritage</w:t>
            </w:r>
          </w:p>
        </w:tc>
        <w:tc>
          <w:tcPr>
            <w:tcW w:type="dxa" w:w="2484"/>
          </w:tcPr>
          <w:p>
            <w:r>
              <w:t>Public officials</w:t>
            </w:r>
          </w:p>
        </w:tc>
        <w:tc>
          <w:tcPr>
            <w:tcW w:type="dxa" w:w="2484"/>
          </w:tcPr>
          <w:p>
            <w:r>
              <w:t>Regulatory coordination</w:t>
            </w:r>
          </w:p>
        </w:tc>
      </w:tr>
    </w:tbl>
    <w:p>
      <w:pPr>
        <w:pStyle w:val="Heading1"/>
      </w:pPr>
      <w:r>
        <w:t>Governance Principles</w:t>
      </w:r>
    </w:p>
    <w:p>
      <w:pPr>
        <w:pStyle w:val="ListBullet"/>
      </w:pPr>
      <w:r>
        <w:t>Authenticity and evidence take priority over opinion.</w:t>
      </w:r>
    </w:p>
    <w:p>
      <w:pPr>
        <w:pStyle w:val="ListBullet"/>
      </w:pPr>
      <w:r>
        <w:t>Knowledge should be shared whenever appropriate.</w:t>
      </w:r>
    </w:p>
    <w:p>
      <w:pPr>
        <w:pStyle w:val="ListBullet"/>
      </w:pPr>
      <w:r>
        <w:t>Institutions remain accountable for their decisions.</w:t>
      </w:r>
    </w:p>
    <w:p>
      <w:pPr>
        <w:pStyle w:val="ListBullet"/>
      </w:pPr>
      <w:r>
        <w:t>Conflicts of interest must be disclosed.</w:t>
      </w:r>
    </w:p>
    <w:p>
      <w:pPr>
        <w:pStyle w:val="ListBullet"/>
      </w:pPr>
      <w:r>
        <w:t>Preservation outweighs short-term commercial gain.</w:t>
      </w:r>
    </w:p>
    <w:p>
      <w:pPr>
        <w:pStyle w:val="ListBullet"/>
      </w:pPr>
      <w:r>
        <w:t>International collaboration is encouraged.</w:t>
      </w:r>
    </w:p>
    <w:p>
      <w:pPr>
        <w:pStyle w:val="Heading1"/>
      </w:pPr>
      <w:r>
        <w:t>Decision-Making Model</w:t>
      </w:r>
    </w:p>
    <w:p>
      <w:r>
        <w:t>Operational decisions are made at the lowest competent level, while franchise-wide standards are coordinated through collaborative councils and established preservation policies rather than unilateral authority.</w:t>
      </w:r>
    </w:p>
    <w:p>
      <w:pPr>
        <w:pStyle w:val="Heading1"/>
      </w:pPr>
      <w:r>
        <w:t>Public Trust</w:t>
      </w:r>
    </w:p>
    <w:p>
      <w:pPr>
        <w:pStyle w:val="ListBullet"/>
      </w:pPr>
      <w:r>
        <w:t>Maintain transparent processes.</w:t>
      </w:r>
    </w:p>
    <w:p>
      <w:pPr>
        <w:pStyle w:val="ListBullet"/>
      </w:pPr>
      <w:r>
        <w:t>Publish educational resources.</w:t>
      </w:r>
    </w:p>
    <w:p>
      <w:pPr>
        <w:pStyle w:val="ListBullet"/>
      </w:pPr>
      <w:r>
        <w:t>Encourage independent verification.</w:t>
      </w:r>
    </w:p>
    <w:p>
      <w:pPr>
        <w:pStyle w:val="ListBullet"/>
      </w:pPr>
      <w:r>
        <w:t>Respect collectors of every experience level.</w:t>
      </w:r>
    </w:p>
    <w:p>
      <w:pPr>
        <w:pStyle w:val="ListBullet"/>
      </w:pPr>
      <w:r>
        <w:t>Support responsible stewardship across generations.</w:t>
      </w:r>
    </w:p>
    <w:p>
      <w:pPr>
        <w:pStyle w:val="Heading1"/>
      </w:pPr>
      <w:r>
        <w:t>Role of the Syndicate</w:t>
      </w:r>
    </w:p>
    <w:p>
      <w:r>
        <w:t>The Syndicate attempts to undermine confidence in institutions through misinformation, forgery, theft, market manipulation, and secrecy. Strong governance reduces these vulnerabilities by emphasizing transparency and accountability.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International standards councils</w:t>
      </w:r>
    </w:p>
    <w:p>
      <w:pPr>
        <w:pStyle w:val="ListNumber"/>
      </w:pPr>
      <w:r>
        <w:t>Regional governance boards</w:t>
      </w:r>
    </w:p>
    <w:p>
      <w:pPr>
        <w:pStyle w:val="ListNumber"/>
      </w:pPr>
      <w:r>
        <w:t>Youth collector programs</w:t>
      </w:r>
    </w:p>
    <w:p>
      <w:pPr>
        <w:pStyle w:val="ListNumber"/>
      </w:pPr>
      <w:r>
        <w:t>Academic research alliances</w:t>
      </w:r>
    </w:p>
    <w:p>
      <w:pPr>
        <w:pStyle w:val="ListNumber"/>
      </w:pPr>
      <w:r>
        <w:t>Emergency preservation coalitions</w:t>
      </w:r>
    </w:p>
    <w:p>
      <w:pPr>
        <w:pStyle w:val="ListNumber"/>
      </w:pPr>
      <w:r>
        <w:t>Cross-border preservation agreements</w:t>
      </w:r>
    </w:p>
    <w:p>
      <w:pPr>
        <w:pStyle w:val="Heading1"/>
      </w:pPr>
      <w:r>
        <w:t>Canon Status</w:t>
      </w:r>
    </w:p>
    <w:p>
      <w:r>
        <w:t>LOCKED — Future organizations may be introduced provided they reinforce the cooperative governance model established in this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