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w:t>
        <w:br/>
        <w:t>Volume 04 — Story Bible</w:t>
      </w:r>
    </w:p>
    <w:p>
      <w:pPr>
        <w:jc w:val="center"/>
      </w:pPr>
      <w:r>
        <w:rPr>
          <w:b/>
          <w:sz w:val="36"/>
        </w:rPr>
        <w:t>Part 10 — Story Continuity, Canon Management &amp; Writer's Rules</w:t>
      </w:r>
    </w:p>
    <w:p>
      <w:pPr>
        <w:pStyle w:val="Heading1"/>
      </w:pPr>
      <w:r>
        <w:t>Purpose</w:t>
      </w:r>
    </w:p>
    <w:p>
      <w:r>
        <w:t>This document establishes the definitive rules for maintaining narrative continuity across every Collectiverse story. It provides a single framework for writers, editors, storyboard artists, game designers, licensors, and AI-assisted content creators to ensure that every new story expands the franchise without contradicting established canon.</w:t>
      </w:r>
    </w:p>
    <w:p>
      <w:pPr>
        <w:pStyle w:val="Heading1"/>
      </w:pPr>
      <w:r>
        <w:t>Continuity Philosophy</w:t>
      </w:r>
    </w:p>
    <w:p>
      <w:r>
        <w:t>Consistency builds audience trust. Every story should reinforce the shared universe, preserve character identity, and contribute meaningfully to the long-term evolution of the Collectiverse.</w:t>
      </w:r>
    </w:p>
    <w:p>
      <w:pPr>
        <w:pStyle w:val="Heading1"/>
      </w:pPr>
      <w:r>
        <w:t>Canon Authority</w:t>
      </w:r>
    </w:p>
    <w:tbl>
      <w:tblPr>
        <w:tblStyle w:val="TableGrid"/>
        <w:tblW w:type="auto" w:w="0"/>
        <w:tblLook w:firstColumn="1" w:firstRow="1" w:lastColumn="0" w:lastRow="0" w:noHBand="0" w:noVBand="1" w:val="04A0"/>
      </w:tblPr>
      <w:tblGrid>
        <w:gridCol w:w="3312"/>
        <w:gridCol w:w="3312"/>
        <w:gridCol w:w="3312"/>
      </w:tblGrid>
      <w:tr>
        <w:tc>
          <w:tcPr>
            <w:tcW w:type="dxa" w:w="3312"/>
          </w:tcPr>
          <w:p>
            <w:r>
              <w:t>Authority Level</w:t>
            </w:r>
          </w:p>
        </w:tc>
        <w:tc>
          <w:tcPr>
            <w:tcW w:type="dxa" w:w="3312"/>
          </w:tcPr>
          <w:p>
            <w:r>
              <w:t>Primary Source</w:t>
            </w:r>
          </w:p>
        </w:tc>
        <w:tc>
          <w:tcPr>
            <w:tcW w:type="dxa" w:w="3312"/>
          </w:tcPr>
          <w:p>
            <w:r>
              <w:t>Purpose</w:t>
            </w:r>
          </w:p>
        </w:tc>
      </w:tr>
      <w:tr>
        <w:tc>
          <w:tcPr>
            <w:tcW w:type="dxa" w:w="3312"/>
          </w:tcPr>
          <w:p>
            <w:r>
              <w:t>Level 1</w:t>
            </w:r>
          </w:p>
        </w:tc>
        <w:tc>
          <w:tcPr>
            <w:tcW w:type="dxa" w:w="3312"/>
          </w:tcPr>
          <w:p>
            <w:r>
              <w:t>Franchise, Character, World &amp; Story Bibles</w:t>
            </w:r>
          </w:p>
        </w:tc>
        <w:tc>
          <w:tcPr>
            <w:tcW w:type="dxa" w:w="3312"/>
          </w:tcPr>
          <w:p>
            <w:r>
              <w:t>Highest canonical authority</w:t>
            </w:r>
          </w:p>
        </w:tc>
      </w:tr>
      <w:tr>
        <w:tc>
          <w:tcPr>
            <w:tcW w:type="dxa" w:w="3312"/>
          </w:tcPr>
          <w:p>
            <w:r>
              <w:t>Level 2</w:t>
            </w:r>
          </w:p>
        </w:tc>
        <w:tc>
          <w:tcPr>
            <w:tcW w:type="dxa" w:w="3312"/>
          </w:tcPr>
          <w:p>
            <w:r>
              <w:t>Production Bible &amp; Style Guides</w:t>
            </w:r>
          </w:p>
        </w:tc>
        <w:tc>
          <w:tcPr>
            <w:tcW w:type="dxa" w:w="3312"/>
          </w:tcPr>
          <w:p>
            <w:r>
              <w:t>Creative implementation</w:t>
            </w:r>
          </w:p>
        </w:tc>
      </w:tr>
      <w:tr>
        <w:tc>
          <w:tcPr>
            <w:tcW w:type="dxa" w:w="3312"/>
          </w:tcPr>
          <w:p>
            <w:r>
              <w:t>Level 3</w:t>
            </w:r>
          </w:p>
        </w:tc>
        <w:tc>
          <w:tcPr>
            <w:tcW w:type="dxa" w:w="3312"/>
          </w:tcPr>
          <w:p>
            <w:r>
              <w:t>Released media</w:t>
            </w:r>
          </w:p>
        </w:tc>
        <w:tc>
          <w:tcPr>
            <w:tcW w:type="dxa" w:w="3312"/>
          </w:tcPr>
          <w:p>
            <w:r>
              <w:t>Official storytelling record</w:t>
            </w:r>
          </w:p>
        </w:tc>
      </w:tr>
      <w:tr>
        <w:tc>
          <w:tcPr>
            <w:tcW w:type="dxa" w:w="3312"/>
          </w:tcPr>
          <w:p>
            <w:r>
              <w:t>Level 4</w:t>
            </w:r>
          </w:p>
        </w:tc>
        <w:tc>
          <w:tcPr>
            <w:tcW w:type="dxa" w:w="3312"/>
          </w:tcPr>
          <w:p>
            <w:r>
              <w:t>Marketing &amp; promotional material</w:t>
            </w:r>
          </w:p>
        </w:tc>
        <w:tc>
          <w:tcPr>
            <w:tcW w:type="dxa" w:w="3312"/>
          </w:tcPr>
          <w:p>
            <w:r>
              <w:t>Supporting reference only</w:t>
            </w:r>
          </w:p>
        </w:tc>
      </w:tr>
    </w:tbl>
    <w:p>
      <w:pPr>
        <w:pStyle w:val="Heading1"/>
      </w:pPr>
      <w:r>
        <w:t>Writer Rules</w:t>
      </w:r>
    </w:p>
    <w:p>
      <w:pPr>
        <w:pStyle w:val="ListBullet"/>
      </w:pPr>
      <w:r>
        <w:t>Characters remain true to their established personalities and motivations.</w:t>
      </w:r>
    </w:p>
    <w:p>
      <w:pPr>
        <w:pStyle w:val="ListBullet"/>
      </w:pPr>
      <w:r>
        <w:t>Every mystery follows the approved investigation framework.</w:t>
      </w:r>
    </w:p>
    <w:p>
      <w:pPr>
        <w:pStyle w:val="ListBullet"/>
      </w:pPr>
      <w:r>
        <w:t>Educational content must support the story naturally.</w:t>
      </w:r>
    </w:p>
    <w:p>
      <w:pPr>
        <w:pStyle w:val="ListBullet"/>
      </w:pPr>
      <w:r>
        <w:t>New lore expands canon rather than replacing it.</w:t>
      </w:r>
    </w:p>
    <w:p>
      <w:pPr>
        <w:pStyle w:val="ListBullet"/>
      </w:pPr>
      <w:r>
        <w:t>Continuity changes require documented approval.</w:t>
      </w:r>
    </w:p>
    <w:p>
      <w:pPr>
        <w:pStyle w:val="ListBullet"/>
      </w:pPr>
      <w:r>
        <w:t>Contradictions are resolved through additive explanations whenever possible.</w:t>
      </w:r>
    </w:p>
    <w:p>
      <w:pPr>
        <w:pStyle w:val="Heading1"/>
      </w:pPr>
      <w:r>
        <w:t>Story Review Checklist</w:t>
      </w:r>
    </w:p>
    <w:p>
      <w:pPr>
        <w:pStyle w:val="ListNumber"/>
      </w:pPr>
      <w:r>
        <w:t>Canon compliance verified</w:t>
      </w:r>
    </w:p>
    <w:p>
      <w:pPr>
        <w:pStyle w:val="ListNumber"/>
      </w:pPr>
      <w:r>
        <w:t>Character voices reviewed</w:t>
      </w:r>
    </w:p>
    <w:p>
      <w:pPr>
        <w:pStyle w:val="ListNumber"/>
      </w:pPr>
      <w:r>
        <w:t>Timeline consistency confirmed</w:t>
      </w:r>
    </w:p>
    <w:p>
      <w:pPr>
        <w:pStyle w:val="ListNumber"/>
      </w:pPr>
      <w:r>
        <w:t>Educational objectives achieved</w:t>
      </w:r>
    </w:p>
    <w:p>
      <w:pPr>
        <w:pStyle w:val="ListNumber"/>
      </w:pPr>
      <w:r>
        <w:t>Collectible authenticity represented accurately</w:t>
      </w:r>
    </w:p>
    <w:p>
      <w:pPr>
        <w:pStyle w:val="ListNumber"/>
      </w:pPr>
      <w:r>
        <w:t>Final editorial approval completed</w:t>
      </w:r>
    </w:p>
    <w:p>
      <w:pPr>
        <w:pStyle w:val="Heading1"/>
      </w:pPr>
      <w:r>
        <w:t>AI Content Standards</w:t>
      </w:r>
    </w:p>
    <w:p>
      <w:r>
        <w:t>AI-assisted content may accelerate ideation and production, but every generated story, script, illustration prompt, or game narrative must be reviewed for continuity, educational accuracy, character consistency, and adherence to the Collectiverse canon before publication.</w:t>
      </w:r>
    </w:p>
    <w:p>
      <w:pPr>
        <w:pStyle w:val="Heading1"/>
      </w:pPr>
      <w:r>
        <w:t>Future Expansion</w:t>
      </w:r>
    </w:p>
    <w:p>
      <w:r>
        <w:t>As the franchise grows into additional media, new documentation may extend these rules without weakening or replacing the established canon hierarchy.</w:t>
      </w:r>
    </w:p>
    <w:p>
      <w:pPr>
        <w:pStyle w:val="Heading1"/>
      </w:pPr>
      <w:r>
        <w:t>Canon Status</w:t>
      </w:r>
    </w:p>
    <w:p>
      <w:r>
        <w:t>LOCKED — This document completes Volume 04. All future Collectiverse stories must follow these continuity, canon, and writing standards to preserve a coherent, educational, and enduring franchise.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