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08 — Accessibility, Localization, Internationalization &amp; Inclusive Design</w:t>
      </w:r>
    </w:p>
    <w:p>
      <w:pPr>
        <w:pStyle w:val="Heading1"/>
      </w:pPr>
      <w:r>
        <w:t>Purpose</w:t>
      </w:r>
    </w:p>
    <w:p>
      <w:r>
        <w:t>This document establishes the accessibility, localization, internationalization, and inclusive design standards for all Collectiverse products. These standards apply to animation, games, websites, mobile applications, printed materials, educational resources, and licensed experiences.</w:t>
      </w:r>
    </w:p>
    <w:p>
      <w:pPr>
        <w:pStyle w:val="Heading1"/>
      </w:pPr>
      <w:r>
        <w:t>Accessibility Philosophy</w:t>
      </w:r>
    </w:p>
    <w:p>
      <w:r>
        <w:t>Collectiverse should be enjoyable by the widest possible audience. Accessibility is considered during planning and production rather than added after completion.</w:t>
      </w:r>
    </w:p>
    <w:p>
      <w:pPr>
        <w:pStyle w:val="Heading1"/>
      </w:pPr>
      <w:r>
        <w:t>Core Accessibility Framework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Objective</w:t>
            </w:r>
          </w:p>
        </w:tc>
        <w:tc>
          <w:tcPr>
            <w:tcW w:type="dxa" w:w="2484"/>
          </w:tcPr>
          <w:p>
            <w:r>
              <w:t>Standard</w:t>
            </w:r>
          </w:p>
        </w:tc>
        <w:tc>
          <w:tcPr>
            <w:tcW w:type="dxa" w:w="2484"/>
          </w:tcPr>
          <w:p>
            <w:r>
              <w:t>Validation</w:t>
            </w:r>
          </w:p>
        </w:tc>
      </w:tr>
      <w:tr>
        <w:tc>
          <w:tcPr>
            <w:tcW w:type="dxa" w:w="2484"/>
          </w:tcPr>
          <w:p>
            <w:r>
              <w:t>Captions</w:t>
            </w:r>
          </w:p>
        </w:tc>
        <w:tc>
          <w:tcPr>
            <w:tcW w:type="dxa" w:w="2484"/>
          </w:tcPr>
          <w:p>
            <w:r>
              <w:t>Support dialogue</w:t>
            </w:r>
          </w:p>
        </w:tc>
        <w:tc>
          <w:tcPr>
            <w:tcW w:type="dxa" w:w="2484"/>
          </w:tcPr>
          <w:p>
            <w:r>
              <w:t>Accurate closed captions</w:t>
            </w:r>
          </w:p>
        </w:tc>
        <w:tc>
          <w:tcPr>
            <w:tcW w:type="dxa" w:w="2484"/>
          </w:tcPr>
          <w:p>
            <w:r>
              <w:t>Caption QA</w:t>
            </w:r>
          </w:p>
        </w:tc>
      </w:tr>
      <w:tr>
        <w:tc>
          <w:tcPr>
            <w:tcW w:type="dxa" w:w="2484"/>
          </w:tcPr>
          <w:p>
            <w:r>
              <w:t>Audio</w:t>
            </w:r>
          </w:p>
        </w:tc>
        <w:tc>
          <w:tcPr>
            <w:tcW w:type="dxa" w:w="2484"/>
          </w:tcPr>
          <w:p>
            <w:r>
              <w:t>Support non-visual access</w:t>
            </w:r>
          </w:p>
        </w:tc>
        <w:tc>
          <w:tcPr>
            <w:tcW w:type="dxa" w:w="2484"/>
          </w:tcPr>
          <w:p>
            <w:r>
              <w:t>Audio descriptions where appropriate</w:t>
            </w:r>
          </w:p>
        </w:tc>
        <w:tc>
          <w:tcPr>
            <w:tcW w:type="dxa" w:w="2484"/>
          </w:tcPr>
          <w:p>
            <w:r>
              <w:t>Accessibility review</w:t>
            </w:r>
          </w:p>
        </w:tc>
      </w:tr>
      <w:tr>
        <w:tc>
          <w:tcPr>
            <w:tcW w:type="dxa" w:w="2484"/>
          </w:tcPr>
          <w:p>
            <w:r>
              <w:t>Color</w:t>
            </w:r>
          </w:p>
        </w:tc>
        <w:tc>
          <w:tcPr>
            <w:tcW w:type="dxa" w:w="2484"/>
          </w:tcPr>
          <w:p>
            <w:r>
              <w:t>Ensure readability</w:t>
            </w:r>
          </w:p>
        </w:tc>
        <w:tc>
          <w:tcPr>
            <w:tcW w:type="dxa" w:w="2484"/>
          </w:tcPr>
          <w:p>
            <w:r>
              <w:t>Sufficient contrast and color-safe palettes</w:t>
            </w:r>
          </w:p>
        </w:tc>
        <w:tc>
          <w:tcPr>
            <w:tcW w:type="dxa" w:w="2484"/>
          </w:tcPr>
          <w:p>
            <w:r>
              <w:t>Visual testing</w:t>
            </w:r>
          </w:p>
        </w:tc>
      </w:tr>
      <w:tr>
        <w:tc>
          <w:tcPr>
            <w:tcW w:type="dxa" w:w="2484"/>
          </w:tcPr>
          <w:p>
            <w:r>
              <w:t>UI</w:t>
            </w:r>
          </w:p>
        </w:tc>
        <w:tc>
          <w:tcPr>
            <w:tcW w:type="dxa" w:w="2484"/>
          </w:tcPr>
          <w:p>
            <w:r>
              <w:t>Universal interaction</w:t>
            </w:r>
          </w:p>
        </w:tc>
        <w:tc>
          <w:tcPr>
            <w:tcW w:type="dxa" w:w="2484"/>
          </w:tcPr>
          <w:p>
            <w:r>
              <w:t>Keyboard/controller/screen reader support</w:t>
            </w:r>
          </w:p>
        </w:tc>
        <w:tc>
          <w:tcPr>
            <w:tcW w:type="dxa" w:w="2484"/>
          </w:tcPr>
          <w:p>
            <w:r>
              <w:t>Functional testing</w:t>
            </w:r>
          </w:p>
        </w:tc>
      </w:tr>
      <w:tr>
        <w:tc>
          <w:tcPr>
            <w:tcW w:type="dxa" w:w="2484"/>
          </w:tcPr>
          <w:p>
            <w:r>
              <w:t>Language</w:t>
            </w:r>
          </w:p>
        </w:tc>
        <w:tc>
          <w:tcPr>
            <w:tcW w:type="dxa" w:w="2484"/>
          </w:tcPr>
          <w:p>
            <w:r>
              <w:t>Global audiences</w:t>
            </w:r>
          </w:p>
        </w:tc>
        <w:tc>
          <w:tcPr>
            <w:tcW w:type="dxa" w:w="2484"/>
          </w:tcPr>
          <w:p>
            <w:r>
              <w:t>Professional localization</w:t>
            </w:r>
          </w:p>
        </w:tc>
        <w:tc>
          <w:tcPr>
            <w:tcW w:type="dxa" w:w="2484"/>
          </w:tcPr>
          <w:p>
            <w:r>
              <w:t>Linguistic review</w:t>
            </w:r>
          </w:p>
        </w:tc>
      </w:tr>
      <w:tr>
        <w:tc>
          <w:tcPr>
            <w:tcW w:type="dxa" w:w="2484"/>
          </w:tcPr>
          <w:p>
            <w:r>
              <w:t>Education</w:t>
            </w:r>
          </w:p>
        </w:tc>
        <w:tc>
          <w:tcPr>
            <w:tcW w:type="dxa" w:w="2484"/>
          </w:tcPr>
          <w:p>
            <w:r>
              <w:t>Clear learning</w:t>
            </w:r>
          </w:p>
        </w:tc>
        <w:tc>
          <w:tcPr>
            <w:tcW w:type="dxa" w:w="2484"/>
          </w:tcPr>
          <w:p>
            <w:r>
              <w:t>Age-appropriate readability</w:t>
            </w:r>
          </w:p>
        </w:tc>
        <w:tc>
          <w:tcPr>
            <w:tcW w:type="dxa" w:w="2484"/>
          </w:tcPr>
          <w:p>
            <w:r>
              <w:t>Editorial review</w:t>
            </w:r>
          </w:p>
        </w:tc>
      </w:tr>
    </w:tbl>
    <w:p>
      <w:pPr>
        <w:pStyle w:val="Heading1"/>
      </w:pPr>
      <w:r>
        <w:t>Inclusive Design Standards</w:t>
      </w:r>
    </w:p>
    <w:p>
      <w:pPr>
        <w:pStyle w:val="ListBullet"/>
      </w:pPr>
      <w:r>
        <w:t>Design for a broad range of ages and abilities.</w:t>
      </w:r>
    </w:p>
    <w:p>
      <w:pPr>
        <w:pStyle w:val="ListBullet"/>
      </w:pPr>
      <w:r>
        <w:t>Avoid conveying critical information through color alone.</w:t>
      </w:r>
    </w:p>
    <w:p>
      <w:pPr>
        <w:pStyle w:val="ListBullet"/>
      </w:pPr>
      <w:r>
        <w:t>Provide scalable text where supported.</w:t>
      </w:r>
    </w:p>
    <w:p>
      <w:pPr>
        <w:pStyle w:val="ListBullet"/>
      </w:pPr>
      <w:r>
        <w:t>Support assistive technologies whenever practical.</w:t>
      </w:r>
    </w:p>
    <w:p>
      <w:pPr>
        <w:pStyle w:val="ListBullet"/>
      </w:pPr>
      <w:r>
        <w:t>Maintain consistent navigation and interaction patterns.</w:t>
      </w:r>
    </w:p>
    <w:p>
      <w:pPr>
        <w:pStyle w:val="Heading1"/>
      </w:pPr>
      <w:r>
        <w:t>Localization &amp; Internationalization</w:t>
      </w:r>
    </w:p>
    <w:p>
      <w:pPr>
        <w:pStyle w:val="ListBullet"/>
      </w:pPr>
      <w:r>
        <w:t>Separate translatable text from application logic.</w:t>
      </w:r>
    </w:p>
    <w:p>
      <w:pPr>
        <w:pStyle w:val="ListBullet"/>
      </w:pPr>
      <w:r>
        <w:t>Support Unicode throughout the production pipeline.</w:t>
      </w:r>
    </w:p>
    <w:p>
      <w:pPr>
        <w:pStyle w:val="ListBullet"/>
      </w:pPr>
      <w:r>
        <w:t>Allow expansion for translated text.</w:t>
      </w:r>
    </w:p>
    <w:p>
      <w:pPr>
        <w:pStyle w:val="ListBullet"/>
      </w:pPr>
      <w:r>
        <w:t>Adapt measurements, dates, and formats by locale.</w:t>
      </w:r>
    </w:p>
    <w:p>
      <w:pPr>
        <w:pStyle w:val="ListBullet"/>
      </w:pPr>
      <w:r>
        <w:t>Respect regional cultural differences without changing franchise canon.</w:t>
      </w:r>
    </w:p>
    <w:p>
      <w:pPr>
        <w:pStyle w:val="Heading1"/>
      </w:pPr>
      <w:r>
        <w:t>Production Checklist</w:t>
      </w:r>
    </w:p>
    <w:p>
      <w:pPr>
        <w:pStyle w:val="ListNumber"/>
      </w:pPr>
      <w:r>
        <w:t>Caption review</w:t>
      </w:r>
    </w:p>
    <w:p>
      <w:pPr>
        <w:pStyle w:val="ListNumber"/>
      </w:pPr>
      <w:r>
        <w:t>Localization QA</w:t>
      </w:r>
    </w:p>
    <w:p>
      <w:pPr>
        <w:pStyle w:val="ListNumber"/>
      </w:pPr>
      <w:r>
        <w:t>Color contrast verification</w:t>
      </w:r>
    </w:p>
    <w:p>
      <w:pPr>
        <w:pStyle w:val="ListNumber"/>
      </w:pPr>
      <w:r>
        <w:t>Assistive technology testing</w:t>
      </w:r>
    </w:p>
    <w:p>
      <w:pPr>
        <w:pStyle w:val="ListNumber"/>
      </w:pPr>
      <w:r>
        <w:t>Internationalization validation</w:t>
      </w:r>
    </w:p>
    <w:p>
      <w:pPr>
        <w:pStyle w:val="ListNumber"/>
      </w:pPr>
      <w:r>
        <w:t>Final accessibility approval</w:t>
      </w:r>
    </w:p>
    <w:p>
      <w:pPr>
        <w:pStyle w:val="Heading1"/>
      </w:pPr>
      <w:r>
        <w:t>Canon Status</w:t>
      </w:r>
    </w:p>
    <w:p>
      <w:r>
        <w:t>LOCKED — These standards define the official accessibility and localization requirements for every Collectiverse production and licensed product.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