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06 — Animation &amp; Asset Production Bible</w:t>
      </w:r>
    </w:p>
    <w:p>
      <w:pPr>
        <w:jc w:val="center"/>
      </w:pPr>
      <w:r>
        <w:rPr>
          <w:b/>
          <w:sz w:val="36"/>
        </w:rPr>
        <w:t>Part 01 — Character Construction, Turnarounds &amp; Model Sheet Standards</w:t>
      </w:r>
    </w:p>
    <w:p>
      <w:pPr>
        <w:pStyle w:val="Heading1"/>
      </w:pPr>
      <w:r>
        <w:t>Purpose</w:t>
      </w:r>
    </w:p>
    <w:p>
      <w:r>
        <w:t>This document establishes the canonical construction rules for every Collectiverse character. It defines how model sheets are created, how proportions are preserved, and how turnarounds remain consistent across illustration, animation, games, comics, merchandise, and AI-assisted production.</w:t>
      </w:r>
    </w:p>
    <w:p>
      <w:pPr>
        <w:pStyle w:val="Heading1"/>
      </w:pPr>
      <w:r>
        <w:t>Construction Philosophy</w:t>
      </w:r>
    </w:p>
    <w:p>
      <w:r>
        <w:t>Every character must be recognizable from silhouette alone. Construction rules prioritize consistency, readability, and efficient production without sacrificing personality.</w:t>
      </w:r>
    </w:p>
    <w:p>
      <w:pPr>
        <w:pStyle w:val="Heading1"/>
      </w:pPr>
      <w:r>
        <w:t>Model Sheet Requirements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Component</w:t>
            </w:r>
          </w:p>
        </w:tc>
        <w:tc>
          <w:tcPr>
            <w:tcW w:type="dxa" w:w="2484"/>
          </w:tcPr>
          <w:p>
            <w:r>
              <w:t>Requirement</w:t>
            </w:r>
          </w:p>
        </w:tc>
        <w:tc>
          <w:tcPr>
            <w:tcW w:type="dxa" w:w="2484"/>
          </w:tcPr>
          <w:p>
            <w:r>
              <w:t>Applies To</w:t>
            </w:r>
          </w:p>
        </w:tc>
        <w:tc>
          <w:tcPr>
            <w:tcW w:type="dxa" w:w="2484"/>
          </w:tcPr>
          <w:p>
            <w:r>
              <w:t>Verification</w:t>
            </w:r>
          </w:p>
        </w:tc>
      </w:tr>
      <w:tr>
        <w:tc>
          <w:tcPr>
            <w:tcW w:type="dxa" w:w="2484"/>
          </w:tcPr>
          <w:p>
            <w:r>
              <w:t>Front View</w:t>
            </w:r>
          </w:p>
        </w:tc>
        <w:tc>
          <w:tcPr>
            <w:tcW w:type="dxa" w:w="2484"/>
          </w:tcPr>
          <w:p>
            <w:r>
              <w:t>Neutral pose</w:t>
            </w:r>
          </w:p>
        </w:tc>
        <w:tc>
          <w:tcPr>
            <w:tcW w:type="dxa" w:w="2484"/>
          </w:tcPr>
          <w:p>
            <w:r>
              <w:t>All characters</w:t>
            </w:r>
          </w:p>
        </w:tc>
        <w:tc>
          <w:tcPr>
            <w:tcW w:type="dxa" w:w="2484"/>
          </w:tcPr>
          <w:p>
            <w:r>
              <w:t>Model review</w:t>
            </w:r>
          </w:p>
        </w:tc>
      </w:tr>
      <w:tr>
        <w:tc>
          <w:tcPr>
            <w:tcW w:type="dxa" w:w="2484"/>
          </w:tcPr>
          <w:p>
            <w:r>
              <w:t>3/4 Views</w:t>
            </w:r>
          </w:p>
        </w:tc>
        <w:tc>
          <w:tcPr>
            <w:tcW w:type="dxa" w:w="2484"/>
          </w:tcPr>
          <w:p>
            <w:r>
              <w:t>Left &amp; right</w:t>
            </w:r>
          </w:p>
        </w:tc>
        <w:tc>
          <w:tcPr>
            <w:tcW w:type="dxa" w:w="2484"/>
          </w:tcPr>
          <w:p>
            <w:r>
              <w:t>Primary cast</w:t>
            </w:r>
          </w:p>
        </w:tc>
        <w:tc>
          <w:tcPr>
            <w:tcW w:type="dxa" w:w="2484"/>
          </w:tcPr>
          <w:p>
            <w:r>
              <w:t>Art approval</w:t>
            </w:r>
          </w:p>
        </w:tc>
      </w:tr>
      <w:tr>
        <w:tc>
          <w:tcPr>
            <w:tcW w:type="dxa" w:w="2484"/>
          </w:tcPr>
          <w:p>
            <w:r>
              <w:t>Profiles</w:t>
            </w:r>
          </w:p>
        </w:tc>
        <w:tc>
          <w:tcPr>
            <w:tcW w:type="dxa" w:w="2484"/>
          </w:tcPr>
          <w:p>
            <w:r>
              <w:t>Left &amp; right</w:t>
            </w:r>
          </w:p>
        </w:tc>
        <w:tc>
          <w:tcPr>
            <w:tcW w:type="dxa" w:w="2484"/>
          </w:tcPr>
          <w:p>
            <w:r>
              <w:t>All characters</w:t>
            </w:r>
          </w:p>
        </w:tc>
        <w:tc>
          <w:tcPr>
            <w:tcW w:type="dxa" w:w="2484"/>
          </w:tcPr>
          <w:p>
            <w:r>
              <w:t>Silhouette check</w:t>
            </w:r>
          </w:p>
        </w:tc>
      </w:tr>
      <w:tr>
        <w:tc>
          <w:tcPr>
            <w:tcW w:type="dxa" w:w="2484"/>
          </w:tcPr>
          <w:p>
            <w:r>
              <w:t>Back View</w:t>
            </w:r>
          </w:p>
        </w:tc>
        <w:tc>
          <w:tcPr>
            <w:tcW w:type="dxa" w:w="2484"/>
          </w:tcPr>
          <w:p>
            <w:r>
              <w:t>Full turnaround</w:t>
            </w:r>
          </w:p>
        </w:tc>
        <w:tc>
          <w:tcPr>
            <w:tcW w:type="dxa" w:w="2484"/>
          </w:tcPr>
          <w:p>
            <w:r>
              <w:t>All characters</w:t>
            </w:r>
          </w:p>
        </w:tc>
        <w:tc>
          <w:tcPr>
            <w:tcW w:type="dxa" w:w="2484"/>
          </w:tcPr>
          <w:p>
            <w:r>
              <w:t>Continuity review</w:t>
            </w:r>
          </w:p>
        </w:tc>
      </w:tr>
      <w:tr>
        <w:tc>
          <w:tcPr>
            <w:tcW w:type="dxa" w:w="2484"/>
          </w:tcPr>
          <w:p>
            <w:r>
              <w:t>Scale Chart</w:t>
            </w:r>
          </w:p>
        </w:tc>
        <w:tc>
          <w:tcPr>
            <w:tcW w:type="dxa" w:w="2484"/>
          </w:tcPr>
          <w:p>
            <w:r>
              <w:t>Relative heights</w:t>
            </w:r>
          </w:p>
        </w:tc>
        <w:tc>
          <w:tcPr>
            <w:tcW w:type="dxa" w:w="2484"/>
          </w:tcPr>
          <w:p>
            <w:r>
              <w:t>Entire cast</w:t>
            </w:r>
          </w:p>
        </w:tc>
        <w:tc>
          <w:tcPr>
            <w:tcW w:type="dxa" w:w="2484"/>
          </w:tcPr>
          <w:p>
            <w:r>
              <w:t>Canon validation</w:t>
            </w:r>
          </w:p>
        </w:tc>
      </w:tr>
      <w:tr>
        <w:tc>
          <w:tcPr>
            <w:tcW w:type="dxa" w:w="2484"/>
          </w:tcPr>
          <w:p>
            <w:r>
              <w:t>Color Callouts</w:t>
            </w:r>
          </w:p>
        </w:tc>
        <w:tc>
          <w:tcPr>
            <w:tcW w:type="dxa" w:w="2484"/>
          </w:tcPr>
          <w:p>
            <w:r>
              <w:t>Official palette</w:t>
            </w:r>
          </w:p>
        </w:tc>
        <w:tc>
          <w:tcPr>
            <w:tcW w:type="dxa" w:w="2484"/>
          </w:tcPr>
          <w:p>
            <w:r>
              <w:t>All assets</w:t>
            </w:r>
          </w:p>
        </w:tc>
        <w:tc>
          <w:tcPr>
            <w:tcW w:type="dxa" w:w="2484"/>
          </w:tcPr>
          <w:p>
            <w:r>
              <w:t>Brand review</w:t>
            </w:r>
          </w:p>
        </w:tc>
      </w:tr>
    </w:tbl>
    <w:p>
      <w:pPr>
        <w:pStyle w:val="Heading1"/>
      </w:pPr>
      <w:r>
        <w:t>Construction Standards</w:t>
      </w:r>
    </w:p>
    <w:p>
      <w:pPr>
        <w:pStyle w:val="ListBullet"/>
      </w:pPr>
      <w:r>
        <w:t>Use the approved head-to-body proportions for each character.</w:t>
      </w:r>
    </w:p>
    <w:p>
      <w:pPr>
        <w:pStyle w:val="ListBullet"/>
      </w:pPr>
      <w:r>
        <w:t>Do not alter canonical silhouettes.</w:t>
      </w:r>
    </w:p>
    <w:p>
      <w:pPr>
        <w:pStyle w:val="ListBullet"/>
      </w:pPr>
      <w:r>
        <w:t>Maintain consistent eye, badge, and costume placement.</w:t>
      </w:r>
    </w:p>
    <w:p>
      <w:pPr>
        <w:pStyle w:val="ListBullet"/>
      </w:pPr>
      <w:r>
        <w:t>Preserve species-specific anatomy while supporting expressive animation.</w:t>
      </w:r>
    </w:p>
    <w:p>
      <w:pPr>
        <w:pStyle w:val="ListBullet"/>
      </w:pPr>
      <w:r>
        <w:t>Reference the latest approved master model sheet for all work.</w:t>
      </w:r>
    </w:p>
    <w:p>
      <w:pPr>
        <w:pStyle w:val="Heading1"/>
      </w:pPr>
      <w:r>
        <w:t>Turnaround Deliverables</w:t>
      </w:r>
    </w:p>
    <w:p>
      <w:pPr>
        <w:pStyle w:val="ListNumber"/>
      </w:pPr>
      <w:r>
        <w:t>Front view</w:t>
      </w:r>
    </w:p>
    <w:p>
      <w:pPr>
        <w:pStyle w:val="ListNumber"/>
      </w:pPr>
      <w:r>
        <w:t>Back view</w:t>
      </w:r>
    </w:p>
    <w:p>
      <w:pPr>
        <w:pStyle w:val="ListNumber"/>
      </w:pPr>
      <w:r>
        <w:t>Left profile</w:t>
      </w:r>
    </w:p>
    <w:p>
      <w:pPr>
        <w:pStyle w:val="ListNumber"/>
      </w:pPr>
      <w:r>
        <w:t>Right profile</w:t>
      </w:r>
    </w:p>
    <w:p>
      <w:pPr>
        <w:pStyle w:val="ListNumber"/>
      </w:pPr>
      <w:r>
        <w:t>Front-left 3/4 view</w:t>
      </w:r>
    </w:p>
    <w:p>
      <w:pPr>
        <w:pStyle w:val="ListNumber"/>
      </w:pPr>
      <w:r>
        <w:t>Front-right 3/4 view</w:t>
      </w:r>
    </w:p>
    <w:p>
      <w:pPr>
        <w:pStyle w:val="ListNumber"/>
      </w:pPr>
      <w:r>
        <w:t>Height comparison chart</w:t>
      </w:r>
    </w:p>
    <w:p>
      <w:pPr>
        <w:pStyle w:val="Heading1"/>
      </w:pPr>
      <w:r>
        <w:t>AI &amp; External Studio Guidance</w:t>
      </w:r>
    </w:p>
    <w:p>
      <w:r>
        <w:t>AI-generated or outsourced artwork must be validated against the master model sheets before approval. Any deviation affecting canon, proportions, colors, or signature features requires corrective revision.</w:t>
      </w:r>
    </w:p>
    <w:p>
      <w:pPr>
        <w:pStyle w:val="Heading1"/>
      </w:pPr>
      <w:r>
        <w:t>Canon Status</w:t>
      </w:r>
    </w:p>
    <w:p>
      <w:r>
        <w:t>LOCKED — These standards define the official character construction and turnaround requirements for all Collectiverse productions.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