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05 — Rigging, Skeletons, Blendshapes &amp; Animation Controls</w:t>
      </w:r>
    </w:p>
    <w:p>
      <w:pPr>
        <w:pStyle w:val="Heading1"/>
      </w:pPr>
      <w:r>
        <w:t>Purpose</w:t>
      </w:r>
    </w:p>
    <w:p>
      <w:r>
        <w:t>This document defines the canonical rigging standards for every Collectiverse character. It establishes skeleton hierarchies, deformation quality, facial rigging, animation controllers, prop attachment systems, and interoperability requirements to ensure consistent animation across film, games, interactive media, and AI-assisted production.</w:t>
      </w:r>
    </w:p>
    <w:p>
      <w:pPr>
        <w:pStyle w:val="Heading1"/>
      </w:pPr>
      <w:r>
        <w:t>Rigging Philosophy</w:t>
      </w:r>
    </w:p>
    <w:p>
      <w:r>
        <w:t>Rigs should maximize expressive performance while remaining stable, reusable, efficient, and portable across production pipelines. Technical complexity should never reduce animator usability or compromise canonical character proportions.</w:t>
      </w:r>
    </w:p>
    <w:p>
      <w:pPr>
        <w:pStyle w:val="Heading1"/>
      </w:pPr>
      <w:r>
        <w:t>Rig Architecture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Rig Component</w:t>
            </w:r>
          </w:p>
        </w:tc>
        <w:tc>
          <w:tcPr>
            <w:tcW w:type="dxa" w:w="2484"/>
          </w:tcPr>
          <w:p>
            <w:r>
              <w:t>Primary Purpose</w:t>
            </w:r>
          </w:p>
        </w:tc>
        <w:tc>
          <w:tcPr>
            <w:tcW w:type="dxa" w:w="2484"/>
          </w:tcPr>
          <w:p>
            <w:r>
              <w:t>Required Standard</w:t>
            </w:r>
          </w:p>
        </w:tc>
        <w:tc>
          <w:tcPr>
            <w:tcW w:type="dxa" w:w="2484"/>
          </w:tcPr>
          <w:p>
            <w:r>
              <w:t>Validation</w:t>
            </w:r>
          </w:p>
        </w:tc>
      </w:tr>
      <w:tr>
        <w:tc>
          <w:tcPr>
            <w:tcW w:type="dxa" w:w="2484"/>
          </w:tcPr>
          <w:p>
            <w:r>
              <w:t>Skeleton</w:t>
            </w:r>
          </w:p>
        </w:tc>
        <w:tc>
          <w:tcPr>
            <w:tcW w:type="dxa" w:w="2484"/>
          </w:tcPr>
          <w:p>
            <w:r>
              <w:t>Body movement</w:t>
            </w:r>
          </w:p>
        </w:tc>
        <w:tc>
          <w:tcPr>
            <w:tcW w:type="dxa" w:w="2484"/>
          </w:tcPr>
          <w:p>
            <w:r>
              <w:t>Canonical joint hierarchy</w:t>
            </w:r>
          </w:p>
        </w:tc>
        <w:tc>
          <w:tcPr>
            <w:tcW w:type="dxa" w:w="2484"/>
          </w:tcPr>
          <w:p>
            <w:r>
              <w:t>Rig QA</w:t>
            </w:r>
          </w:p>
        </w:tc>
      </w:tr>
      <w:tr>
        <w:tc>
          <w:tcPr>
            <w:tcW w:type="dxa" w:w="2484"/>
          </w:tcPr>
          <w:p>
            <w:r>
              <w:t>IK/FK Systems</w:t>
            </w:r>
          </w:p>
        </w:tc>
        <w:tc>
          <w:tcPr>
            <w:tcW w:type="dxa" w:w="2484"/>
          </w:tcPr>
          <w:p>
            <w:r>
              <w:t>Animation flexibility</w:t>
            </w:r>
          </w:p>
        </w:tc>
        <w:tc>
          <w:tcPr>
            <w:tcW w:type="dxa" w:w="2484"/>
          </w:tcPr>
          <w:p>
            <w:r>
              <w:t>Seamless switching</w:t>
            </w:r>
          </w:p>
        </w:tc>
        <w:tc>
          <w:tcPr>
            <w:tcW w:type="dxa" w:w="2484"/>
          </w:tcPr>
          <w:p>
            <w:r>
              <w:t>Animation review</w:t>
            </w:r>
          </w:p>
        </w:tc>
      </w:tr>
      <w:tr>
        <w:tc>
          <w:tcPr>
            <w:tcW w:type="dxa" w:w="2484"/>
          </w:tcPr>
          <w:p>
            <w:r>
              <w:t>Blendshapes</w:t>
            </w:r>
          </w:p>
        </w:tc>
        <w:tc>
          <w:tcPr>
            <w:tcW w:type="dxa" w:w="2484"/>
          </w:tcPr>
          <w:p>
            <w:r>
              <w:t>Facial acting</w:t>
            </w:r>
          </w:p>
        </w:tc>
        <w:tc>
          <w:tcPr>
            <w:tcW w:type="dxa" w:w="2484"/>
          </w:tcPr>
          <w:p>
            <w:r>
              <w:t>Approved expression set</w:t>
            </w:r>
          </w:p>
        </w:tc>
        <w:tc>
          <w:tcPr>
            <w:tcW w:type="dxa" w:w="2484"/>
          </w:tcPr>
          <w:p>
            <w:r>
              <w:t>Facial QA</w:t>
            </w:r>
          </w:p>
        </w:tc>
      </w:tr>
      <w:tr>
        <w:tc>
          <w:tcPr>
            <w:tcW w:type="dxa" w:w="2484"/>
          </w:tcPr>
          <w:p>
            <w:r>
              <w:t>Controllers</w:t>
            </w:r>
          </w:p>
        </w:tc>
        <w:tc>
          <w:tcPr>
            <w:tcW w:type="dxa" w:w="2484"/>
          </w:tcPr>
          <w:p>
            <w:r>
              <w:t>Animator interface</w:t>
            </w:r>
          </w:p>
        </w:tc>
        <w:tc>
          <w:tcPr>
            <w:tcW w:type="dxa" w:w="2484"/>
          </w:tcPr>
          <w:p>
            <w:r>
              <w:t>Consistent naming</w:t>
            </w:r>
          </w:p>
        </w:tc>
        <w:tc>
          <w:tcPr>
            <w:tcW w:type="dxa" w:w="2484"/>
          </w:tcPr>
          <w:p>
            <w:r>
              <w:t>Pipeline validation</w:t>
            </w:r>
          </w:p>
        </w:tc>
      </w:tr>
      <w:tr>
        <w:tc>
          <w:tcPr>
            <w:tcW w:type="dxa" w:w="2484"/>
          </w:tcPr>
          <w:p>
            <w:r>
              <w:t>Prop Attachments</w:t>
            </w:r>
          </w:p>
        </w:tc>
        <w:tc>
          <w:tcPr>
            <w:tcW w:type="dxa" w:w="2484"/>
          </w:tcPr>
          <w:p>
            <w:r>
              <w:t>Tool interaction</w:t>
            </w:r>
          </w:p>
        </w:tc>
        <w:tc>
          <w:tcPr>
            <w:tcW w:type="dxa" w:w="2484"/>
          </w:tcPr>
          <w:p>
            <w:r>
              <w:t>Standard attachment points</w:t>
            </w:r>
          </w:p>
        </w:tc>
        <w:tc>
          <w:tcPr>
            <w:tcW w:type="dxa" w:w="2484"/>
          </w:tcPr>
          <w:p>
            <w:r>
              <w:t>Asset review</w:t>
            </w:r>
          </w:p>
        </w:tc>
      </w:tr>
      <w:tr>
        <w:tc>
          <w:tcPr>
            <w:tcW w:type="dxa" w:w="2484"/>
          </w:tcPr>
          <w:p>
            <w:r>
              <w:t>Secondary Rigs</w:t>
            </w:r>
          </w:p>
        </w:tc>
        <w:tc>
          <w:tcPr>
            <w:tcW w:type="dxa" w:w="2484"/>
          </w:tcPr>
          <w:p>
            <w:r>
              <w:t>Dynamic motion</w:t>
            </w:r>
          </w:p>
        </w:tc>
        <w:tc>
          <w:tcPr>
            <w:tcW w:type="dxa" w:w="2484"/>
          </w:tcPr>
          <w:p>
            <w:r>
              <w:t>Stable simulation controls</w:t>
            </w:r>
          </w:p>
        </w:tc>
        <w:tc>
          <w:tcPr>
            <w:tcW w:type="dxa" w:w="2484"/>
          </w:tcPr>
          <w:p>
            <w:r>
              <w:t>Physics review</w:t>
            </w:r>
          </w:p>
        </w:tc>
      </w:tr>
    </w:tbl>
    <w:p>
      <w:pPr>
        <w:pStyle w:val="Heading1"/>
      </w:pPr>
      <w:r>
        <w:t>Rigging Standards</w:t>
      </w:r>
    </w:p>
    <w:p>
      <w:pPr>
        <w:pStyle w:val="ListBullet"/>
      </w:pPr>
      <w:r>
        <w:t>Maintain canonical proportions at all times.</w:t>
      </w:r>
    </w:p>
    <w:p>
      <w:pPr>
        <w:pStyle w:val="ListBullet"/>
      </w:pPr>
      <w:r>
        <w:t>Prevent mesh collapse during extreme poses.</w:t>
      </w:r>
    </w:p>
    <w:p>
      <w:pPr>
        <w:pStyle w:val="ListBullet"/>
      </w:pPr>
      <w:r>
        <w:t>Use consistent controller colors and naming conventions.</w:t>
      </w:r>
    </w:p>
    <w:p>
      <w:pPr>
        <w:pStyle w:val="ListBullet"/>
      </w:pPr>
      <w:r>
        <w:t>Support non-destructive updates whenever possible.</w:t>
      </w:r>
    </w:p>
    <w:p>
      <w:pPr>
        <w:pStyle w:val="ListBullet"/>
      </w:pPr>
      <w:r>
        <w:t>Every production rig originates from the approved master rig.</w:t>
      </w:r>
    </w:p>
    <w:p>
      <w:pPr>
        <w:pStyle w:val="Heading1"/>
      </w:pPr>
      <w:r>
        <w:t>Facial Rigging</w:t>
      </w:r>
    </w:p>
    <w:p>
      <w:pPr>
        <w:pStyle w:val="ListBullet"/>
      </w:pPr>
      <w:r>
        <w:t>Blendshapes align with the official expression library.</w:t>
      </w:r>
    </w:p>
    <w:p>
      <w:pPr>
        <w:pStyle w:val="ListBullet"/>
      </w:pPr>
      <w:r>
        <w:t>Eye controls prioritize readability and emotional clarity.</w:t>
      </w:r>
    </w:p>
    <w:p>
      <w:pPr>
        <w:pStyle w:val="ListBullet"/>
      </w:pPr>
      <w:r>
        <w:t>Species-specific facial anatomy is preserved.</w:t>
      </w:r>
    </w:p>
    <w:p>
      <w:pPr>
        <w:pStyle w:val="ListBullet"/>
      </w:pPr>
      <w:r>
        <w:t>Lip synchronization supports multiple languages.</w:t>
      </w:r>
    </w:p>
    <w:p>
      <w:pPr>
        <w:pStyle w:val="Heading1"/>
      </w:pPr>
      <w:r>
        <w:t>Pipeline Compatibility</w:t>
      </w:r>
    </w:p>
    <w:p>
      <w:pPr>
        <w:pStyle w:val="ListBullet"/>
      </w:pPr>
      <w:r>
        <w:t>Support interchange with Unreal Engine, Unity, and Godot.</w:t>
      </w:r>
    </w:p>
    <w:p>
      <w:pPr>
        <w:pStyle w:val="ListBullet"/>
      </w:pPr>
      <w:r>
        <w:t>Export through standardized interchange formats where practical.</w:t>
      </w:r>
    </w:p>
    <w:p>
      <w:pPr>
        <w:pStyle w:val="ListBullet"/>
      </w:pPr>
      <w:r>
        <w:t>Preserve metadata required by downstream animation tools.</w:t>
      </w:r>
    </w:p>
    <w:p>
      <w:pPr>
        <w:pStyle w:val="ListBullet"/>
      </w:pPr>
      <w:r>
        <w:t>Document version compatibility for every released rig.</w:t>
      </w:r>
    </w:p>
    <w:p>
      <w:pPr>
        <w:pStyle w:val="Heading1"/>
      </w:pPr>
      <w:r>
        <w:t>Approval Checklist</w:t>
      </w:r>
    </w:p>
    <w:p>
      <w:pPr>
        <w:pStyle w:val="ListNumber"/>
      </w:pPr>
      <w:r>
        <w:t>Skeleton validated</w:t>
      </w:r>
    </w:p>
    <w:p>
      <w:pPr>
        <w:pStyle w:val="ListNumber"/>
      </w:pPr>
      <w:r>
        <w:t>Controller naming verified</w:t>
      </w:r>
    </w:p>
    <w:p>
      <w:pPr>
        <w:pStyle w:val="ListNumber"/>
      </w:pPr>
      <w:r>
        <w:t>Blendshapes tested</w:t>
      </w:r>
    </w:p>
    <w:p>
      <w:pPr>
        <w:pStyle w:val="ListNumber"/>
      </w:pPr>
      <w:r>
        <w:t>Deformation quality approved</w:t>
      </w:r>
    </w:p>
    <w:p>
      <w:pPr>
        <w:pStyle w:val="ListNumber"/>
      </w:pPr>
      <w:r>
        <w:t>Engine export validated</w:t>
      </w:r>
    </w:p>
    <w:p>
      <w:pPr>
        <w:pStyle w:val="ListNumber"/>
      </w:pPr>
      <w:r>
        <w:t>Canon review complete</w:t>
      </w:r>
    </w:p>
    <w:p>
      <w:pPr>
        <w:pStyle w:val="Heading1"/>
      </w:pPr>
      <w:r>
        <w:t>Canon Status</w:t>
      </w:r>
    </w:p>
    <w:p>
      <w:r>
        <w:t>LOCKED — These standards define the official rigging, skeletal hierarchy, blendshape, and animation control requirements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