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06 — Animation &amp; Asset Production Bible</w:t>
      </w:r>
    </w:p>
    <w:p>
      <w:pPr>
        <w:jc w:val="center"/>
      </w:pPr>
      <w:r>
        <w:rPr>
          <w:b/>
          <w:sz w:val="36"/>
        </w:rPr>
        <w:t>Part 08 — Materials, Textures, Shaders &amp; Surface Library Standards</w:t>
      </w:r>
    </w:p>
    <w:p>
      <w:pPr>
        <w:pStyle w:val="Heading1"/>
      </w:pPr>
      <w:r>
        <w:t>Purpose</w:t>
      </w:r>
    </w:p>
    <w:p>
      <w:r>
        <w:t>This document establishes the canonical standards for materials, textures, shaders, and surface treatments used throughout the Collectiverse franchise. It ensures a consistent visual appearance across animation, games, illustrations, marketing, merchandise, and future production pipelines.</w:t>
      </w:r>
    </w:p>
    <w:p>
      <w:pPr>
        <w:pStyle w:val="Heading1"/>
      </w:pPr>
      <w:r>
        <w:t>Look Development Philosophy</w:t>
      </w:r>
    </w:p>
    <w:p>
      <w:r>
        <w:t>Materials should reinforce authenticity while supporting the stylized Collectiverse aesthetic. Surfaces must communicate age, craftsmanship, rarity, and condition without sacrificing readability or production efficiency.</w:t>
      </w:r>
    </w:p>
    <w:p>
      <w:pPr>
        <w:pStyle w:val="Heading1"/>
      </w:pPr>
      <w:r>
        <w:t>Material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Material</w:t>
            </w:r>
          </w:p>
        </w:tc>
        <w:tc>
          <w:tcPr>
            <w:tcW w:type="dxa" w:w="2484"/>
          </w:tcPr>
          <w:p>
            <w:r>
              <w:t>Primary Use</w:t>
            </w:r>
          </w:p>
        </w:tc>
        <w:tc>
          <w:tcPr>
            <w:tcW w:type="dxa" w:w="2484"/>
          </w:tcPr>
          <w:p>
            <w:r>
              <w:t>Standard</w:t>
            </w:r>
          </w:p>
        </w:tc>
        <w:tc>
          <w:tcPr>
            <w:tcW w:type="dxa" w:w="2484"/>
          </w:tcPr>
          <w:p>
            <w:r>
              <w:t>Validation</w:t>
            </w:r>
          </w:p>
        </w:tc>
      </w:tr>
      <w:tr>
        <w:tc>
          <w:tcPr>
            <w:tcW w:type="dxa" w:w="2484"/>
          </w:tcPr>
          <w:p>
            <w:r>
              <w:t>Metal</w:t>
            </w:r>
          </w:p>
        </w:tc>
        <w:tc>
          <w:tcPr>
            <w:tcW w:type="dxa" w:w="2484"/>
          </w:tcPr>
          <w:p>
            <w:r>
              <w:t>Robots, tools, coins</w:t>
            </w:r>
          </w:p>
        </w:tc>
        <w:tc>
          <w:tcPr>
            <w:tcW w:type="dxa" w:w="2484"/>
          </w:tcPr>
          <w:p>
            <w:r>
              <w:t>Consistent PBR values</w:t>
            </w:r>
          </w:p>
        </w:tc>
        <w:tc>
          <w:tcPr>
            <w:tcW w:type="dxa" w:w="2484"/>
          </w:tcPr>
          <w:p>
            <w:r>
              <w:t>Look-dev review</w:t>
            </w:r>
          </w:p>
        </w:tc>
      </w:tr>
      <w:tr>
        <w:tc>
          <w:tcPr>
            <w:tcW w:type="dxa" w:w="2484"/>
          </w:tcPr>
          <w:p>
            <w:r>
              <w:t>Paper</w:t>
            </w:r>
          </w:p>
        </w:tc>
        <w:tc>
          <w:tcPr>
            <w:tcW w:type="dxa" w:w="2484"/>
          </w:tcPr>
          <w:p>
            <w:r>
              <w:t>Cards, comics, books</w:t>
            </w:r>
          </w:p>
        </w:tc>
        <w:tc>
          <w:tcPr>
            <w:tcW w:type="dxa" w:w="2484"/>
          </w:tcPr>
          <w:p>
            <w:r>
              <w:t>Authentic fibers &amp; wear</w:t>
            </w:r>
          </w:p>
        </w:tc>
        <w:tc>
          <w:tcPr>
            <w:tcW w:type="dxa" w:w="2484"/>
          </w:tcPr>
          <w:p>
            <w:r>
              <w:t>Content QA</w:t>
            </w:r>
          </w:p>
        </w:tc>
      </w:tr>
      <w:tr>
        <w:tc>
          <w:tcPr>
            <w:tcW w:type="dxa" w:w="2484"/>
          </w:tcPr>
          <w:p>
            <w:r>
              <w:t>Fabric</w:t>
            </w:r>
          </w:p>
        </w:tc>
        <w:tc>
          <w:tcPr>
            <w:tcW w:type="dxa" w:w="2484"/>
          </w:tcPr>
          <w:p>
            <w:r>
              <w:t>Clothing, banners</w:t>
            </w:r>
          </w:p>
        </w:tc>
        <w:tc>
          <w:tcPr>
            <w:tcW w:type="dxa" w:w="2484"/>
          </w:tcPr>
          <w:p>
            <w:r>
              <w:t>Realistic weave scale</w:t>
            </w:r>
          </w:p>
        </w:tc>
        <w:tc>
          <w:tcPr>
            <w:tcW w:type="dxa" w:w="2484"/>
          </w:tcPr>
          <w:p>
            <w:r>
              <w:t>Art review</w:t>
            </w:r>
          </w:p>
        </w:tc>
      </w:tr>
      <w:tr>
        <w:tc>
          <w:tcPr>
            <w:tcW w:type="dxa" w:w="2484"/>
          </w:tcPr>
          <w:p>
            <w:r>
              <w:t>Wood &amp; Stone</w:t>
            </w:r>
          </w:p>
        </w:tc>
        <w:tc>
          <w:tcPr>
            <w:tcW w:type="dxa" w:w="2484"/>
          </w:tcPr>
          <w:p>
            <w:r>
              <w:t>Displays, furniture</w:t>
            </w:r>
          </w:p>
        </w:tc>
        <w:tc>
          <w:tcPr>
            <w:tcW w:type="dxa" w:w="2484"/>
          </w:tcPr>
          <w:p>
            <w:r>
              <w:t>Natural variation</w:t>
            </w:r>
          </w:p>
        </w:tc>
        <w:tc>
          <w:tcPr>
            <w:tcW w:type="dxa" w:w="2484"/>
          </w:tcPr>
          <w:p>
            <w:r>
              <w:t>Environment QA</w:t>
            </w:r>
          </w:p>
        </w:tc>
      </w:tr>
      <w:tr>
        <w:tc>
          <w:tcPr>
            <w:tcW w:type="dxa" w:w="2484"/>
          </w:tcPr>
          <w:p>
            <w:r>
              <w:t>Glass &amp; Crystal</w:t>
            </w:r>
          </w:p>
        </w:tc>
        <w:tc>
          <w:tcPr>
            <w:tcW w:type="dxa" w:w="2484"/>
          </w:tcPr>
          <w:p>
            <w:r>
              <w:t>Cases, lenses</w:t>
            </w:r>
          </w:p>
        </w:tc>
        <w:tc>
          <w:tcPr>
            <w:tcW w:type="dxa" w:w="2484"/>
          </w:tcPr>
          <w:p>
            <w:r>
              <w:t>Controlled transparency</w:t>
            </w:r>
          </w:p>
        </w:tc>
        <w:tc>
          <w:tcPr>
            <w:tcW w:type="dxa" w:w="2484"/>
          </w:tcPr>
          <w:p>
            <w:r>
              <w:t>Render QA</w:t>
            </w:r>
          </w:p>
        </w:tc>
      </w:tr>
      <w:tr>
        <w:tc>
          <w:tcPr>
            <w:tcW w:type="dxa" w:w="2484"/>
          </w:tcPr>
          <w:p>
            <w:r>
              <w:t>Energy Effects</w:t>
            </w:r>
          </w:p>
        </w:tc>
        <w:tc>
          <w:tcPr>
            <w:tcW w:type="dxa" w:w="2484"/>
          </w:tcPr>
          <w:p>
            <w:r>
              <w:t>Holograms, glowing props</w:t>
            </w:r>
          </w:p>
        </w:tc>
        <w:tc>
          <w:tcPr>
            <w:tcW w:type="dxa" w:w="2484"/>
          </w:tcPr>
          <w:p>
            <w:r>
              <w:t>Approved shader library</w:t>
            </w:r>
          </w:p>
        </w:tc>
        <w:tc>
          <w:tcPr>
            <w:tcW w:type="dxa" w:w="2484"/>
          </w:tcPr>
          <w:p>
            <w:r>
              <w:t>Canon review</w:t>
            </w:r>
          </w:p>
        </w:tc>
      </w:tr>
    </w:tbl>
    <w:p>
      <w:pPr>
        <w:pStyle w:val="Heading1"/>
      </w:pPr>
      <w:r>
        <w:t>Texture Standards</w:t>
      </w:r>
    </w:p>
    <w:p>
      <w:pPr>
        <w:pStyle w:val="ListBullet"/>
      </w:pPr>
      <w:r>
        <w:t>Maintain consistent texel density across related assets.</w:t>
      </w:r>
    </w:p>
    <w:p>
      <w:pPr>
        <w:pStyle w:val="ListBullet"/>
      </w:pPr>
      <w:r>
        <w:t>Archive high-resolution source textures before optimization.</w:t>
      </w:r>
    </w:p>
    <w:p>
      <w:pPr>
        <w:pStyle w:val="ListBullet"/>
      </w:pPr>
      <w:r>
        <w:t>Use non-destructive texture workflows whenever practical.</w:t>
      </w:r>
    </w:p>
    <w:p>
      <w:pPr>
        <w:pStyle w:val="ListBullet"/>
      </w:pPr>
      <w:r>
        <w:t>Document texture resolution tiers by platform.</w:t>
      </w:r>
    </w:p>
    <w:p>
      <w:pPr>
        <w:pStyle w:val="ListBullet"/>
      </w:pPr>
      <w:r>
        <w:t>Follow approved naming conventions for all texture maps.</w:t>
      </w:r>
    </w:p>
    <w:p>
      <w:pPr>
        <w:pStyle w:val="Heading1"/>
      </w:pPr>
      <w:r>
        <w:t>Shader &amp; Surface Rules</w:t>
      </w:r>
    </w:p>
    <w:p>
      <w:pPr>
        <w:pStyle w:val="ListBullet"/>
      </w:pPr>
      <w:r>
        <w:t>Use approved master shaders as the production baseline.</w:t>
      </w:r>
    </w:p>
    <w:p>
      <w:pPr>
        <w:pStyle w:val="ListBullet"/>
      </w:pPr>
      <w:r>
        <w:t>Surface wear should support the story and object history.</w:t>
      </w:r>
    </w:p>
    <w:p>
      <w:pPr>
        <w:pStyle w:val="ListBullet"/>
      </w:pPr>
      <w:r>
        <w:t>Maintain consistent roughness, metallic, and normal map ranges.</w:t>
      </w:r>
    </w:p>
    <w:p>
      <w:pPr>
        <w:pStyle w:val="ListBullet"/>
      </w:pPr>
      <w:r>
        <w:t>Validate appearance under multiple lighting conditions.</w:t>
      </w:r>
    </w:p>
    <w:p>
      <w:pPr>
        <w:pStyle w:val="ListBullet"/>
      </w:pPr>
      <w:r>
        <w:t>Keep stylization consistent with the Collectiverse visual language.</w:t>
      </w:r>
    </w:p>
    <w:p>
      <w:pPr>
        <w:pStyle w:val="Heading1"/>
      </w:pPr>
      <w:r>
        <w:t>Optimization &amp; Compatibility</w:t>
      </w:r>
    </w:p>
    <w:p>
      <w:pPr>
        <w:pStyle w:val="ListBullet"/>
      </w:pPr>
      <w:r>
        <w:t>Support Unreal Engine, Unity, and Godot rendering pipelines.</w:t>
      </w:r>
    </w:p>
    <w:p>
      <w:pPr>
        <w:pStyle w:val="ListBullet"/>
      </w:pPr>
      <w:r>
        <w:t>Provide optimized variants for mobile and web platforms.</w:t>
      </w:r>
    </w:p>
    <w:p>
      <w:pPr>
        <w:pStyle w:val="ListBullet"/>
      </w:pPr>
      <w:r>
        <w:t>Reduce draw calls through shared materials where appropriate.</w:t>
      </w:r>
    </w:p>
    <w:p>
      <w:pPr>
        <w:pStyle w:val="ListBullet"/>
      </w:pPr>
      <w:r>
        <w:t>Preserve visual fidelity across supported platforms.</w:t>
      </w:r>
    </w:p>
    <w:p>
      <w:pPr>
        <w:pStyle w:val="Heading1"/>
      </w:pPr>
      <w:r>
        <w:t>AI &amp; External Production</w:t>
      </w:r>
    </w:p>
    <w:p>
      <w:r>
        <w:t>AI-generated or outsourced materials and textures must conform to the approved material library, shader standards, and naming conventions before entering the production asset library.</w:t>
      </w:r>
    </w:p>
    <w:p>
      <w:pPr>
        <w:pStyle w:val="Heading1"/>
      </w:pPr>
      <w:r>
        <w:t>Approval Checklist</w:t>
      </w:r>
    </w:p>
    <w:p>
      <w:pPr>
        <w:pStyle w:val="ListNumber"/>
      </w:pPr>
      <w:r>
        <w:t>Material library compliance</w:t>
      </w:r>
    </w:p>
    <w:p>
      <w:pPr>
        <w:pStyle w:val="ListNumber"/>
      </w:pPr>
      <w:r>
        <w:t>Texture resolution verified</w:t>
      </w:r>
    </w:p>
    <w:p>
      <w:pPr>
        <w:pStyle w:val="ListNumber"/>
      </w:pPr>
      <w:r>
        <w:t>Shader validation complete</w:t>
      </w:r>
    </w:p>
    <w:p>
      <w:pPr>
        <w:pStyle w:val="ListNumber"/>
      </w:pPr>
      <w:r>
        <w:t>Cross-platform review passed</w:t>
      </w:r>
    </w:p>
    <w:p>
      <w:pPr>
        <w:pStyle w:val="ListNumber"/>
      </w:pPr>
      <w:r>
        <w:t>Canon approval complete</w:t>
      </w:r>
    </w:p>
    <w:p>
      <w:pPr>
        <w:pStyle w:val="Heading1"/>
      </w:pPr>
      <w:r>
        <w:t>Canon Status</w:t>
      </w:r>
    </w:p>
    <w:p>
      <w:r>
        <w:t>LOCKED — These standards define the official material, texture, shader, and surface requirements for all Collectiverse productions.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