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25: Museum &amp; Archive Partnerships</w:t>
      </w:r>
    </w:p>
    <w:p>
      <w:pPr>
        <w:pStyle w:val="Heading1"/>
      </w:pPr>
      <w:r>
        <w:t>Purpose</w:t>
      </w:r>
    </w:p>
    <w:p>
      <w:r>
        <w:t>The Keepers work alongside museums, libraries, archives, universities, historical societies, grading companies, and collector organizations to preserve cultural heritage while expanding public access to knowledge.</w:t>
      </w:r>
    </w:p>
    <w:p>
      <w:pPr>
        <w:pStyle w:val="Heading1"/>
      </w:pPr>
      <w:r>
        <w:t>Partnership Philosophy</w:t>
      </w:r>
    </w:p>
    <w:p>
      <w:r>
        <w:t>Collectiverse never replaces existing institutions. Instead, the Keepers strengthen them through education, technology, authentication expertise, and collaborative preservation.</w:t>
      </w:r>
    </w:p>
    <w:p>
      <w:pPr>
        <w:pStyle w:val="Heading1"/>
      </w:pPr>
      <w:r>
        <w:t>Partner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Partner Type</w:t>
            </w:r>
          </w:p>
        </w:tc>
        <w:tc>
          <w:tcPr>
            <w:tcW w:type="dxa" w:w="2160"/>
          </w:tcPr>
          <w:p>
            <w:r>
              <w:t>Primary Role</w:t>
            </w:r>
          </w:p>
        </w:tc>
        <w:tc>
          <w:tcPr>
            <w:tcW w:type="dxa" w:w="2160"/>
          </w:tcPr>
          <w:p>
            <w:r>
              <w:t>Keeper Liaison</w:t>
            </w:r>
          </w:p>
        </w:tc>
        <w:tc>
          <w:tcPr>
            <w:tcW w:type="dxa" w:w="2160"/>
          </w:tcPr>
          <w:p>
            <w:r>
              <w:t>Typical Activities</w:t>
            </w:r>
          </w:p>
        </w:tc>
      </w:tr>
      <w:tr>
        <w:tc>
          <w:tcPr>
            <w:tcW w:type="dxa" w:w="2160"/>
          </w:tcPr>
          <w:p>
            <w:r>
              <w:t>Museums</w:t>
            </w:r>
          </w:p>
        </w:tc>
        <w:tc>
          <w:tcPr>
            <w:tcW w:type="dxa" w:w="2160"/>
          </w:tcPr>
          <w:p>
            <w:r>
              <w:t>Public preservation</w:t>
            </w:r>
          </w:p>
        </w:tc>
        <w:tc>
          <w:tcPr>
            <w:tcW w:type="dxa" w:w="2160"/>
          </w:tcPr>
          <w:p>
            <w:r>
              <w:t>Atlas</w:t>
            </w:r>
          </w:p>
        </w:tc>
        <w:tc>
          <w:tcPr>
            <w:tcW w:type="dxa" w:w="2160"/>
          </w:tcPr>
          <w:p>
            <w:r>
              <w:t>Exhibits, loans, educational programs</w:t>
            </w:r>
          </w:p>
        </w:tc>
      </w:tr>
      <w:tr>
        <w:tc>
          <w:tcPr>
            <w:tcW w:type="dxa" w:w="2160"/>
          </w:tcPr>
          <w:p>
            <w:r>
              <w:t>Libraries &amp; Archives</w:t>
            </w:r>
          </w:p>
        </w:tc>
        <w:tc>
          <w:tcPr>
            <w:tcW w:type="dxa" w:w="2160"/>
          </w:tcPr>
          <w:p>
            <w:r>
              <w:t>Historical records</w:t>
            </w:r>
          </w:p>
        </w:tc>
        <w:tc>
          <w:tcPr>
            <w:tcW w:type="dxa" w:w="2160"/>
          </w:tcPr>
          <w:p>
            <w:r>
              <w:t>Ink &amp; Echo</w:t>
            </w:r>
          </w:p>
        </w:tc>
        <w:tc>
          <w:tcPr>
            <w:tcW w:type="dxa" w:w="2160"/>
          </w:tcPr>
          <w:p>
            <w:r>
              <w:t>Digitization, provenance research</w:t>
            </w:r>
          </w:p>
        </w:tc>
      </w:tr>
      <w:tr>
        <w:tc>
          <w:tcPr>
            <w:tcW w:type="dxa" w:w="2160"/>
          </w:tcPr>
          <w:p>
            <w:r>
              <w:t>Universities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Echo</w:t>
            </w:r>
          </w:p>
        </w:tc>
        <w:tc>
          <w:tcPr>
            <w:tcW w:type="dxa" w:w="2160"/>
          </w:tcPr>
          <w:p>
            <w:r>
              <w:t>Joint studies, lectures, internships</w:t>
            </w:r>
          </w:p>
        </w:tc>
      </w:tr>
      <w:tr>
        <w:tc>
          <w:tcPr>
            <w:tcW w:type="dxa" w:w="2160"/>
          </w:tcPr>
          <w:p>
            <w:r>
              <w:t>Collector Clubs</w:t>
            </w:r>
          </w:p>
        </w:tc>
        <w:tc>
          <w:tcPr>
            <w:tcW w:type="dxa" w:w="2160"/>
          </w:tcPr>
          <w:p>
            <w:r>
              <w:t>Community outreach</w:t>
            </w:r>
          </w:p>
        </w:tc>
        <w:tc>
          <w:tcPr>
            <w:tcW w:type="dxa" w:w="2160"/>
          </w:tcPr>
          <w:p>
            <w:r>
              <w:t>Atlas</w:t>
            </w:r>
          </w:p>
        </w:tc>
        <w:tc>
          <w:tcPr>
            <w:tcW w:type="dxa" w:w="2160"/>
          </w:tcPr>
          <w:p>
            <w:r>
              <w:t>Clinics, conventions, workshops</w:t>
            </w:r>
          </w:p>
        </w:tc>
      </w:tr>
      <w:tr>
        <w:tc>
          <w:tcPr>
            <w:tcW w:type="dxa" w:w="2160"/>
          </w:tcPr>
          <w:p>
            <w:r>
              <w:t>Authentication Services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  <w:tc>
          <w:tcPr>
            <w:tcW w:type="dxa" w:w="2160"/>
          </w:tcPr>
          <w:p>
            <w:r>
              <w:t>Sterling</w:t>
            </w:r>
          </w:p>
        </w:tc>
        <w:tc>
          <w:tcPr>
            <w:tcW w:type="dxa" w:w="2160"/>
          </w:tcPr>
          <w:p>
            <w:r>
              <w:t>Research and standards development</w:t>
            </w:r>
          </w:p>
        </w:tc>
      </w:tr>
      <w:tr>
        <w:tc>
          <w:tcPr>
            <w:tcW w:type="dxa" w:w="2160"/>
          </w:tcPr>
          <w:p>
            <w:r>
              <w:t>Conservation Labs</w:t>
            </w:r>
          </w:p>
        </w:tc>
        <w:tc>
          <w:tcPr>
            <w:tcW w:type="dxa" w:w="2160"/>
          </w:tcPr>
          <w:p>
            <w:r>
              <w:t>Artifact care</w:t>
            </w:r>
          </w:p>
        </w:tc>
        <w:tc>
          <w:tcPr>
            <w:tcW w:type="dxa" w:w="2160"/>
          </w:tcPr>
          <w:p>
            <w:r>
              <w:t>Forge</w:t>
            </w:r>
          </w:p>
        </w:tc>
        <w:tc>
          <w:tcPr>
            <w:tcW w:type="dxa" w:w="2160"/>
          </w:tcPr>
          <w:p>
            <w:r>
              <w:t>Restoration planning and preservation</w:t>
            </w:r>
          </w:p>
        </w:tc>
      </w:tr>
    </w:tbl>
    <w:p>
      <w:pPr>
        <w:pStyle w:val="Heading1"/>
      </w:pPr>
      <w:r>
        <w:t>Collaboration Standards</w:t>
      </w:r>
    </w:p>
    <w:p>
      <w:pPr>
        <w:pStyle w:val="ListBullet"/>
      </w:pPr>
      <w:r>
        <w:t>Respect institutional ownership.</w:t>
      </w:r>
    </w:p>
    <w:p>
      <w:pPr>
        <w:pStyle w:val="ListBullet"/>
      </w:pPr>
      <w:r>
        <w:t>Share research whenever legally permitted.</w:t>
      </w:r>
    </w:p>
    <w:p>
      <w:pPr>
        <w:pStyle w:val="ListBullet"/>
      </w:pPr>
      <w:r>
        <w:t>Preserve accurate provenance.</w:t>
      </w:r>
    </w:p>
    <w:p>
      <w:pPr>
        <w:pStyle w:val="ListBullet"/>
      </w:pPr>
      <w:r>
        <w:t>Credit partner expertise.</w:t>
      </w:r>
    </w:p>
    <w:p>
      <w:pPr>
        <w:pStyle w:val="ListBullet"/>
      </w:pPr>
      <w:r>
        <w:t>Protect culturally sensitive collections.</w:t>
      </w:r>
    </w:p>
    <w:p>
      <w:pPr>
        <w:pStyle w:val="Heading1"/>
      </w:pPr>
      <w:r>
        <w:t>Joint Programs</w:t>
      </w:r>
    </w:p>
    <w:p>
      <w:pPr>
        <w:pStyle w:val="ListBullet"/>
      </w:pPr>
      <w:r>
        <w:t>Traveling exhibitions</w:t>
      </w:r>
    </w:p>
    <w:p>
      <w:pPr>
        <w:pStyle w:val="ListBullet"/>
      </w:pPr>
      <w:r>
        <w:t>Youth education initiatives</w:t>
      </w:r>
    </w:p>
    <w:p>
      <w:pPr>
        <w:pStyle w:val="ListBullet"/>
      </w:pPr>
      <w:r>
        <w:t>Disaster recovery assistance</w:t>
      </w:r>
    </w:p>
    <w:p>
      <w:pPr>
        <w:pStyle w:val="ListBullet"/>
      </w:pPr>
      <w:r>
        <w:t>Digital preservation projects</w:t>
      </w:r>
    </w:p>
    <w:p>
      <w:pPr>
        <w:pStyle w:val="ListBullet"/>
      </w:pPr>
      <w:r>
        <w:t>Authentication workshops</w:t>
      </w:r>
    </w:p>
    <w:p>
      <w:pPr>
        <w:pStyle w:val="Heading1"/>
      </w:pPr>
      <w:r>
        <w:t>Canon Rules</w:t>
      </w:r>
    </w:p>
    <w:p>
      <w:r>
        <w:t>Real-world institutions may appear in Collectiverse only when portrayed respectfully and consistently with the franchise's educational mission. Fictional partner institutions should complement, not replace, authentic cultural organizations.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partnership framework.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