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Collectiverse Franchise Standards</w:t>
      </w:r>
    </w:p>
    <w:p>
      <w:pPr>
        <w:jc w:val="center"/>
      </w:pPr>
      <w:r>
        <w:rPr>
          <w:b/>
        </w:rPr>
        <w:t>Volume 01 – Franchise Bible</w:t>
        <w:br/>
      </w:r>
      <w:r>
        <w:t>Part 31: Keeper HQ Master Architecture</w:t>
      </w:r>
    </w:p>
    <w:p>
      <w:pPr>
        <w:pStyle w:val="Heading1"/>
      </w:pPr>
      <w:r>
        <w:t>Purpose</w:t>
      </w:r>
    </w:p>
    <w:p>
      <w:r>
        <w:t>Keeper HQ is the symbolic and operational heart of the Collectiverse universe. It is simultaneously a home, museum, research center, restoration facility, command center, and welcoming gathering place for the global collecting community.</w:t>
      </w:r>
    </w:p>
    <w:p>
      <w:pPr>
        <w:pStyle w:val="Heading1"/>
      </w:pPr>
      <w:r>
        <w:t>Design Philosophy</w:t>
      </w:r>
    </w:p>
    <w:p>
      <w:pPr>
        <w:pStyle w:val="ListBullet"/>
      </w:pPr>
      <w:r>
        <w:t>Community before fortification.</w:t>
      </w:r>
    </w:p>
    <w:p>
      <w:pPr>
        <w:pStyle w:val="ListBullet"/>
      </w:pPr>
      <w:r>
        <w:t>Inspiration before intimidation.</w:t>
      </w:r>
    </w:p>
    <w:p>
      <w:pPr>
        <w:pStyle w:val="ListBullet"/>
      </w:pPr>
      <w:r>
        <w:t>Preservation integrated with everyday life.</w:t>
      </w:r>
    </w:p>
    <w:p>
      <w:pPr>
        <w:pStyle w:val="ListBullet"/>
      </w:pPr>
      <w:r>
        <w:t>Technology blended seamlessly with timeless architecture.</w:t>
      </w:r>
    </w:p>
    <w:p>
      <w:pPr>
        <w:pStyle w:val="ListBullet"/>
      </w:pPr>
      <w:r>
        <w:t>Every space should invite curiosity and learning.</w:t>
      </w:r>
    </w:p>
    <w:p>
      <w:pPr>
        <w:pStyle w:val="Heading1"/>
      </w:pPr>
      <w:r>
        <w:t>Architectural Identity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Element</w:t>
            </w:r>
          </w:p>
        </w:tc>
        <w:tc>
          <w:tcPr>
            <w:tcW w:type="dxa" w:w="4320"/>
          </w:tcPr>
          <w:p>
            <w:r>
              <w:t>Design Standard</w:t>
            </w:r>
          </w:p>
        </w:tc>
      </w:tr>
      <w:tr>
        <w:tc>
          <w:tcPr>
            <w:tcW w:type="dxa" w:w="4320"/>
          </w:tcPr>
          <w:p>
            <w:r>
              <w:t>Overall Form</w:t>
            </w:r>
          </w:p>
        </w:tc>
        <w:tc>
          <w:tcPr>
            <w:tcW w:type="dxa" w:w="4320"/>
          </w:tcPr>
          <w:p>
            <w:r>
              <w:t>Hexagonal campus radiating from a central Great Hall</w:t>
            </w:r>
          </w:p>
        </w:tc>
      </w:tr>
      <w:tr>
        <w:tc>
          <w:tcPr>
            <w:tcW w:type="dxa" w:w="4320"/>
          </w:tcPr>
          <w:p>
            <w:r>
              <w:t>Materials</w:t>
            </w:r>
          </w:p>
        </w:tc>
        <w:tc>
          <w:tcPr>
            <w:tcW w:type="dxa" w:w="4320"/>
          </w:tcPr>
          <w:p>
            <w:r>
              <w:t>Stone, glass, brushed metal, warm wood, living greenery</w:t>
            </w:r>
          </w:p>
        </w:tc>
      </w:tr>
      <w:tr>
        <w:tc>
          <w:tcPr>
            <w:tcW w:type="dxa" w:w="4320"/>
          </w:tcPr>
          <w:p>
            <w:r>
              <w:t>Lighting</w:t>
            </w:r>
          </w:p>
        </w:tc>
        <w:tc>
          <w:tcPr>
            <w:tcW w:type="dxa" w:w="4320"/>
          </w:tcPr>
          <w:p>
            <w:r>
              <w:t>Natural daylight with subtle blue accent illumination</w:t>
            </w:r>
          </w:p>
        </w:tc>
      </w:tr>
      <w:tr>
        <w:tc>
          <w:tcPr>
            <w:tcW w:type="dxa" w:w="4320"/>
          </w:tcPr>
          <w:p>
            <w:r>
              <w:t>Color Palette</w:t>
            </w:r>
          </w:p>
        </w:tc>
        <w:tc>
          <w:tcPr>
            <w:tcW w:type="dxa" w:w="4320"/>
          </w:tcPr>
          <w:p>
            <w:r>
              <w:t>Neutral earth tones with Collectiverse blue and gold highlights</w:t>
            </w:r>
          </w:p>
        </w:tc>
      </w:tr>
      <w:tr>
        <w:tc>
          <w:tcPr>
            <w:tcW w:type="dxa" w:w="4320"/>
          </w:tcPr>
          <w:p>
            <w:r>
              <w:t>Atmosphere</w:t>
            </w:r>
          </w:p>
        </w:tc>
        <w:tc>
          <w:tcPr>
            <w:tcW w:type="dxa" w:w="4320"/>
          </w:tcPr>
          <w:p>
            <w:r>
              <w:t>Welcoming, lived-in, optimistic, educational</w:t>
            </w:r>
          </w:p>
        </w:tc>
      </w:tr>
    </w:tbl>
    <w:p>
      <w:pPr>
        <w:pStyle w:val="Heading1"/>
      </w:pPr>
      <w:r>
        <w:t>Primary Districts</w:t>
      </w:r>
    </w:p>
    <w:p>
      <w:pPr>
        <w:pStyle w:val="ListBullet"/>
      </w:pPr>
      <w:r>
        <w:t>Grand Entrance &amp; Community Plaza</w:t>
      </w:r>
    </w:p>
    <w:p>
      <w:pPr>
        <w:pStyle w:val="ListBullet"/>
      </w:pPr>
      <w:r>
        <w:t>Great Hall</w:t>
      </w:r>
    </w:p>
    <w:p>
      <w:pPr>
        <w:pStyle w:val="ListBullet"/>
      </w:pPr>
      <w:r>
        <w:t>Museum Galleries</w:t>
      </w:r>
    </w:p>
    <w:p>
      <w:pPr>
        <w:pStyle w:val="ListBullet"/>
      </w:pPr>
      <w:r>
        <w:t>Grand Archive</w:t>
      </w:r>
    </w:p>
    <w:p>
      <w:pPr>
        <w:pStyle w:val="ListBullet"/>
      </w:pPr>
      <w:r>
        <w:t>Research Library</w:t>
      </w:r>
    </w:p>
    <w:p>
      <w:pPr>
        <w:pStyle w:val="ListBullet"/>
      </w:pPr>
      <w:r>
        <w:t>Restoration Workshop</w:t>
      </w:r>
    </w:p>
    <w:p>
      <w:pPr>
        <w:pStyle w:val="ListBullet"/>
      </w:pPr>
      <w:r>
        <w:t>Technology &amp; Mission Operations Center</w:t>
      </w:r>
    </w:p>
    <w:p>
      <w:pPr>
        <w:pStyle w:val="ListBullet"/>
      </w:pPr>
      <w:r>
        <w:t>Residential Wing</w:t>
      </w:r>
    </w:p>
    <w:p>
      <w:pPr>
        <w:pStyle w:val="ListBullet"/>
      </w:pPr>
      <w:r>
        <w:t>Training Facilities</w:t>
      </w:r>
    </w:p>
    <w:p>
      <w:pPr>
        <w:pStyle w:val="ListBullet"/>
      </w:pPr>
      <w:r>
        <w:t>Vehicle Hangar</w:t>
      </w:r>
    </w:p>
    <w:p>
      <w:pPr>
        <w:pStyle w:val="ListBullet"/>
      </w:pPr>
      <w:r>
        <w:t>Gardens and Courtyard</w:t>
      </w:r>
    </w:p>
    <w:p>
      <w:pPr>
        <w:pStyle w:val="Heading1"/>
      </w:pPr>
      <w:r>
        <w:t>Wayfinding</w:t>
      </w:r>
    </w:p>
    <w:p>
      <w:r>
        <w:t>Visitors should intuitively understand where they are. Public, staff, and secure areas are distinguished through architecture, lighting, materials, and signage rather than barriers whenever possible.</w:t>
      </w:r>
    </w:p>
    <w:p>
      <w:pPr>
        <w:pStyle w:val="Heading1"/>
      </w:pPr>
      <w:r>
        <w:t>Living Headquarters</w:t>
      </w:r>
    </w:p>
    <w:p>
      <w:r>
        <w:t>Keeper HQ evolves over time. New exhibits, discoveries, and community contributions become visible parts of the campus, reinforcing that history is continually being preserved and expanded.</w:t>
      </w:r>
    </w:p>
    <w:p>
      <w:pPr>
        <w:pStyle w:val="Heading1"/>
      </w:pPr>
      <w:r>
        <w:t>Canon Rules</w:t>
      </w:r>
    </w:p>
    <w:p>
      <w:r>
        <w:t>Keeper HQ is a recurring character within the franchise. Its core layout and architectural identity remain consistent across animation, games, publishing, attractions, and merchandise.</w:t>
      </w:r>
    </w:p>
    <w:p>
      <w:pPr>
        <w:pStyle w:val="Heading1"/>
      </w:pPr>
      <w: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2026-07-25</w:t>
            </w:r>
          </w:p>
        </w:tc>
        <w:tc>
          <w:tcPr>
            <w:tcW w:type="dxa" w:w="2160"/>
          </w:tcPr>
          <w:p>
            <w:r>
              <w:t>Draft Canon</w:t>
            </w:r>
          </w:p>
        </w:tc>
        <w:tc>
          <w:tcPr>
            <w:tcW w:type="dxa" w:w="2160"/>
          </w:tcPr>
          <w:p>
            <w:r>
              <w:t>Initial headquarters architectural doctrine.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