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Franchise Standards</w:t>
      </w:r>
    </w:p>
    <w:p>
      <w:pPr>
        <w:jc w:val="center"/>
      </w:pPr>
      <w:r>
        <w:rPr>
          <w:b/>
        </w:rPr>
        <w:t>Volume 01 – Franchise Bible</w:t>
        <w:br/>
      </w:r>
      <w:r>
        <w:t>Part 34: The Great Hall &amp; Community Spaces</w:t>
      </w:r>
    </w:p>
    <w:p>
      <w:pPr>
        <w:pStyle w:val="Heading1"/>
      </w:pPr>
      <w:r>
        <w:t>Purpose</w:t>
      </w:r>
    </w:p>
    <w:p>
      <w:r>
        <w:t>The Great Hall is the symbolic heart of Keeper HQ. It is the first destination for most visitors and the place where the Keepers celebrate discoveries, welcome collectors, educate the public, and strengthen the sense of community that defines Collectiverse.</w:t>
      </w:r>
    </w:p>
    <w:p>
      <w:pPr>
        <w:pStyle w:val="Heading1"/>
      </w:pPr>
      <w:r>
        <w:t>Core Design Principles</w:t>
      </w:r>
    </w:p>
    <w:p>
      <w:pPr>
        <w:pStyle w:val="ListBullet"/>
      </w:pPr>
      <w:r>
        <w:t>Open, inviting, and filled with natural light.</w:t>
      </w:r>
    </w:p>
    <w:p>
      <w:pPr>
        <w:pStyle w:val="ListBullet"/>
      </w:pPr>
      <w:r>
        <w:t>Designed to encourage exploration and conversation.</w:t>
      </w:r>
    </w:p>
    <w:p>
      <w:pPr>
        <w:pStyle w:val="ListBullet"/>
      </w:pPr>
      <w:r>
        <w:t>Every architectural element reflects preservation, curiosity, and optimism.</w:t>
      </w:r>
    </w:p>
    <w:p>
      <w:pPr>
        <w:pStyle w:val="ListBullet"/>
      </w:pPr>
      <w:r>
        <w:t>Accessible to visitors of all ages and experience levels.</w:t>
      </w:r>
    </w:p>
    <w:p>
      <w:pPr>
        <w:pStyle w:val="Heading1"/>
      </w:pPr>
      <w:r>
        <w:t>Primary Spaces</w:t>
      </w:r>
    </w:p>
    <w:tbl>
      <w:tblPr>
        <w:tblStyle w:val="TableGrid"/>
        <w:tblW w:type="auto" w:w="0"/>
        <w:tblLook w:firstColumn="1" w:firstRow="1" w:lastColumn="0" w:lastRow="0" w:noHBand="0" w:noVBand="1" w:val="04A0"/>
      </w:tblPr>
      <w:tblGrid>
        <w:gridCol w:w="4320"/>
        <w:gridCol w:w="4320"/>
      </w:tblGrid>
      <w:tr>
        <w:tc>
          <w:tcPr>
            <w:tcW w:type="dxa" w:w="4320"/>
          </w:tcPr>
          <w:p>
            <w:r>
              <w:t>Area</w:t>
            </w:r>
          </w:p>
        </w:tc>
        <w:tc>
          <w:tcPr>
            <w:tcW w:type="dxa" w:w="4320"/>
          </w:tcPr>
          <w:p>
            <w:r>
              <w:t>Purpose</w:t>
            </w:r>
          </w:p>
        </w:tc>
      </w:tr>
      <w:tr>
        <w:tc>
          <w:tcPr>
            <w:tcW w:type="dxa" w:w="4320"/>
          </w:tcPr>
          <w:p>
            <w:r>
              <w:t>Grand Entrance</w:t>
            </w:r>
          </w:p>
        </w:tc>
        <w:tc>
          <w:tcPr>
            <w:tcW w:type="dxa" w:w="4320"/>
          </w:tcPr>
          <w:p>
            <w:r>
              <w:t>Visitor welcome, orientation, information</w:t>
            </w:r>
          </w:p>
        </w:tc>
      </w:tr>
      <w:tr>
        <w:tc>
          <w:tcPr>
            <w:tcW w:type="dxa" w:w="4320"/>
          </w:tcPr>
          <w:p>
            <w:r>
              <w:t>Central Gathering Hall</w:t>
            </w:r>
          </w:p>
        </w:tc>
        <w:tc>
          <w:tcPr>
            <w:tcW w:type="dxa" w:w="4320"/>
          </w:tcPr>
          <w:p>
            <w:r>
              <w:t>Ceremonies, announcements, celebrations</w:t>
            </w:r>
          </w:p>
        </w:tc>
      </w:tr>
      <w:tr>
        <w:tc>
          <w:tcPr>
            <w:tcW w:type="dxa" w:w="4320"/>
          </w:tcPr>
          <w:p>
            <w:r>
              <w:t>Hall of Discoveries</w:t>
            </w:r>
          </w:p>
        </w:tc>
        <w:tc>
          <w:tcPr>
            <w:tcW w:type="dxa" w:w="4320"/>
          </w:tcPr>
          <w:p>
            <w:r>
              <w:t>Featured artifacts and rotating exhibits</w:t>
            </w:r>
          </w:p>
        </w:tc>
      </w:tr>
      <w:tr>
        <w:tc>
          <w:tcPr>
            <w:tcW w:type="dxa" w:w="4320"/>
          </w:tcPr>
          <w:p>
            <w:r>
              <w:t>Community Forum</w:t>
            </w:r>
          </w:p>
        </w:tc>
        <w:tc>
          <w:tcPr>
            <w:tcW w:type="dxa" w:w="4320"/>
          </w:tcPr>
          <w:p>
            <w:r>
              <w:t>Presentations, workshops, guest speakers</w:t>
            </w:r>
          </w:p>
        </w:tc>
      </w:tr>
      <w:tr>
        <w:tc>
          <w:tcPr>
            <w:tcW w:type="dxa" w:w="4320"/>
          </w:tcPr>
          <w:p>
            <w:r>
              <w:t>Collector Lounge</w:t>
            </w:r>
          </w:p>
        </w:tc>
        <w:tc>
          <w:tcPr>
            <w:tcW w:type="dxa" w:w="4320"/>
          </w:tcPr>
          <w:p>
            <w:r>
              <w:t>Conversation, networking, relaxation</w:t>
            </w:r>
          </w:p>
        </w:tc>
      </w:tr>
      <w:tr>
        <w:tc>
          <w:tcPr>
            <w:tcW w:type="dxa" w:w="4320"/>
          </w:tcPr>
          <w:p>
            <w:r>
              <w:t>Children's Discovery Corner</w:t>
            </w:r>
          </w:p>
        </w:tc>
        <w:tc>
          <w:tcPr>
            <w:tcW w:type="dxa" w:w="4320"/>
          </w:tcPr>
          <w:p>
            <w:r>
              <w:t>Hands-on educational activities</w:t>
            </w:r>
          </w:p>
        </w:tc>
      </w:tr>
    </w:tbl>
    <w:p>
      <w:pPr>
        <w:pStyle w:val="Heading1"/>
      </w:pPr>
      <w:r>
        <w:t>Daily Activity</w:t>
      </w:r>
    </w:p>
    <w:p>
      <w:r>
        <w:t>The Great Hall remains active throughout the day with guided tours, educational demonstrations, artifact presentations, community meetups, and informal interactions between the Keepers and visitors.</w:t>
      </w:r>
    </w:p>
    <w:p>
      <w:pPr>
        <w:pStyle w:val="Heading1"/>
      </w:pPr>
      <w:r>
        <w:t>Ceremonial Functions</w:t>
      </w:r>
    </w:p>
    <w:p>
      <w:pPr>
        <w:pStyle w:val="ListBullet"/>
      </w:pPr>
      <w:r>
        <w:t>Mission departure briefings</w:t>
      </w:r>
    </w:p>
    <w:p>
      <w:pPr>
        <w:pStyle w:val="ListBullet"/>
      </w:pPr>
      <w:r>
        <w:t>Mission return celebrations</w:t>
      </w:r>
    </w:p>
    <w:p>
      <w:pPr>
        <w:pStyle w:val="ListBullet"/>
      </w:pPr>
      <w:r>
        <w:t>Recognition of major discoveries</w:t>
      </w:r>
    </w:p>
    <w:p>
      <w:pPr>
        <w:pStyle w:val="ListBullet"/>
      </w:pPr>
      <w:r>
        <w:t>Collector appreciation events</w:t>
      </w:r>
    </w:p>
    <w:p>
      <w:pPr>
        <w:pStyle w:val="ListBullet"/>
      </w:pPr>
      <w:r>
        <w:t>Seasonal festivals and franchise milestones</w:t>
      </w:r>
    </w:p>
    <w:p>
      <w:pPr>
        <w:pStyle w:val="Heading1"/>
      </w:pPr>
      <w:r>
        <w:t>Atmosphere</w:t>
      </w:r>
    </w:p>
    <w:p>
      <w:r>
        <w:t>Visitors should immediately feel that they belong. Warm materials, comfortable seating, living plants, interactive exhibits, and friendly Keeper interactions reinforce that Keeper HQ is a place to learn, share, and preserve history together.</w:t>
      </w:r>
    </w:p>
    <w:p>
      <w:pPr>
        <w:pStyle w:val="Heading1"/>
      </w:pPr>
      <w:r>
        <w:t>Canon Rules</w:t>
      </w:r>
    </w:p>
    <w:p>
      <w:r>
        <w:t>The Great Hall is the visual centerpiece of Keeper HQ across animation, games, publishing, attractions, and merchandise. Its welcoming character and central role in community life must remain consistent.</w:t>
      </w:r>
    </w:p>
    <w:p>
      <w:pPr>
        <w:pStyle w:val="Heading1"/>
      </w:pPr>
      <w:r>
        <w:t>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Status</w:t>
            </w:r>
          </w:p>
        </w:tc>
        <w:tc>
          <w:tcPr>
            <w:tcW w:type="dxa" w:w="2160"/>
          </w:tcPr>
          <w:p>
            <w:r>
              <w:t>Notes</w:t>
            </w:r>
          </w:p>
        </w:tc>
      </w:tr>
      <w:tr>
        <w:tc>
          <w:tcPr>
            <w:tcW w:type="dxa" w:w="2160"/>
          </w:tcPr>
          <w:p>
            <w:r>
              <w:t>1.0</w:t>
            </w:r>
          </w:p>
        </w:tc>
        <w:tc>
          <w:tcPr>
            <w:tcW w:type="dxa" w:w="2160"/>
          </w:tcPr>
          <w:p>
            <w:r>
              <w:t>2026-07-25</w:t>
            </w:r>
          </w:p>
        </w:tc>
        <w:tc>
          <w:tcPr>
            <w:tcW w:type="dxa" w:w="2160"/>
          </w:tcPr>
          <w:p>
            <w:r>
              <w:t>Draft Canon</w:t>
            </w:r>
          </w:p>
        </w:tc>
        <w:tc>
          <w:tcPr>
            <w:tcW w:type="dxa" w:w="2160"/>
          </w:tcPr>
          <w:p>
            <w:r>
              <w:t>Initial Great Hall standards.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