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35: Museum Galleries &amp; Exhibition Standards</w:t>
      </w:r>
    </w:p>
    <w:p>
      <w:pPr>
        <w:pStyle w:val="Heading1"/>
      </w:pPr>
      <w:r>
        <w:t>Purpose</w:t>
      </w:r>
    </w:p>
    <w:p>
      <w:r>
        <w:t>The museum galleries preserve, interpret, and celebrate collectibles and cultural artifacts. Every exhibition should educate, inspire curiosity, and encourage responsible collecting while remaining engaging for visitors of all ages.</w:t>
      </w:r>
    </w:p>
    <w:p>
      <w:pPr>
        <w:pStyle w:val="Heading1"/>
      </w:pPr>
      <w:r>
        <w:t>Exhibition Philosophy</w:t>
      </w:r>
    </w:p>
    <w:p>
      <w:pPr>
        <w:pStyle w:val="ListBullet"/>
      </w:pPr>
      <w:r>
        <w:t>Authenticity is paramount.</w:t>
      </w:r>
    </w:p>
    <w:p>
      <w:pPr>
        <w:pStyle w:val="ListBullet"/>
      </w:pPr>
      <w:r>
        <w:t>Stories matter as much as objects.</w:t>
      </w:r>
    </w:p>
    <w:p>
      <w:pPr>
        <w:pStyle w:val="ListBullet"/>
      </w:pPr>
      <w:r>
        <w:t>Interactive learning complements traditional displays.</w:t>
      </w:r>
    </w:p>
    <w:p>
      <w:pPr>
        <w:pStyle w:val="ListBullet"/>
      </w:pPr>
      <w:r>
        <w:t>Exhibits evolve while preserving historical accuracy.</w:t>
      </w:r>
    </w:p>
    <w:p>
      <w:pPr>
        <w:pStyle w:val="ListBullet"/>
      </w:pPr>
      <w:r>
        <w:t>Accessibility is a design requirement.</w:t>
      </w:r>
    </w:p>
    <w:p>
      <w:pPr>
        <w:pStyle w:val="Heading1"/>
      </w:pPr>
      <w:r>
        <w:t>Core Galleries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Gallery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Trading Cards</w:t>
            </w:r>
          </w:p>
        </w:tc>
        <w:tc>
          <w:tcPr>
            <w:tcW w:type="dxa" w:w="4320"/>
          </w:tcPr>
          <w:p>
            <w:r>
              <w:t>Sports, TCGs, non-sports, grading and history</w:t>
            </w:r>
          </w:p>
        </w:tc>
      </w:tr>
      <w:tr>
        <w:tc>
          <w:tcPr>
            <w:tcW w:type="dxa" w:w="4320"/>
          </w:tcPr>
          <w:p>
            <w:r>
              <w:t>Comics &amp; Books</w:t>
            </w:r>
          </w:p>
        </w:tc>
        <w:tc>
          <w:tcPr>
            <w:tcW w:type="dxa" w:w="4320"/>
          </w:tcPr>
          <w:p>
            <w:r>
              <w:t>Publishing history, creators, key issues</w:t>
            </w:r>
          </w:p>
        </w:tc>
      </w:tr>
      <w:tr>
        <w:tc>
          <w:tcPr>
            <w:tcW w:type="dxa" w:w="4320"/>
          </w:tcPr>
          <w:p>
            <w:r>
              <w:t>Coins &amp; Currency</w:t>
            </w:r>
          </w:p>
        </w:tc>
        <w:tc>
          <w:tcPr>
            <w:tcW w:type="dxa" w:w="4320"/>
          </w:tcPr>
          <w:p>
            <w:r>
              <w:t>Numismatics, minting, historical context</w:t>
            </w:r>
          </w:p>
        </w:tc>
      </w:tr>
      <w:tr>
        <w:tc>
          <w:tcPr>
            <w:tcW w:type="dxa" w:w="4320"/>
          </w:tcPr>
          <w:p>
            <w:r>
              <w:t>Stamps &amp; Postal</w:t>
            </w:r>
          </w:p>
        </w:tc>
        <w:tc>
          <w:tcPr>
            <w:tcW w:type="dxa" w:w="4320"/>
          </w:tcPr>
          <w:p>
            <w:r>
              <w:t>Postal history and philately</w:t>
            </w:r>
          </w:p>
        </w:tc>
      </w:tr>
      <w:tr>
        <w:tc>
          <w:tcPr>
            <w:tcW w:type="dxa" w:w="4320"/>
          </w:tcPr>
          <w:p>
            <w:r>
              <w:t>Toys &amp; Memorabilia</w:t>
            </w:r>
          </w:p>
        </w:tc>
        <w:tc>
          <w:tcPr>
            <w:tcW w:type="dxa" w:w="4320"/>
          </w:tcPr>
          <w:p>
            <w:r>
              <w:t>Figures, games, entertainment collectibles</w:t>
            </w:r>
          </w:p>
        </w:tc>
      </w:tr>
      <w:tr>
        <w:tc>
          <w:tcPr>
            <w:tcW w:type="dxa" w:w="4320"/>
          </w:tcPr>
          <w:p>
            <w:r>
              <w:t>Rotating Gallery</w:t>
            </w:r>
          </w:p>
        </w:tc>
        <w:tc>
          <w:tcPr>
            <w:tcW w:type="dxa" w:w="4320"/>
          </w:tcPr>
          <w:p>
            <w:r>
              <w:t>Seasonal exhibits and featured collections</w:t>
            </w:r>
          </w:p>
        </w:tc>
      </w:tr>
    </w:tbl>
    <w:p>
      <w:pPr>
        <w:pStyle w:val="Heading1"/>
      </w:pPr>
      <w:r>
        <w:t>Exhibit Standards</w:t>
      </w:r>
    </w:p>
    <w:p>
      <w:pPr>
        <w:pStyle w:val="ListBullet"/>
      </w:pPr>
      <w:r>
        <w:t>Every display includes historical context.</w:t>
      </w:r>
    </w:p>
    <w:p>
      <w:pPr>
        <w:pStyle w:val="ListBullet"/>
      </w:pPr>
      <w:r>
        <w:t>Authenticity and provenance are clearly identified.</w:t>
      </w:r>
    </w:p>
    <w:p>
      <w:pPr>
        <w:pStyle w:val="ListBullet"/>
      </w:pPr>
      <w:r>
        <w:t>Interactive experiences never endanger artifacts.</w:t>
      </w:r>
    </w:p>
    <w:p>
      <w:pPr>
        <w:pStyle w:val="ListBullet"/>
      </w:pPr>
      <w:r>
        <w:t>Lighting and environmental controls protect collections.</w:t>
      </w:r>
    </w:p>
    <w:p>
      <w:pPr>
        <w:pStyle w:val="ListBullet"/>
      </w:pPr>
      <w:r>
        <w:t>Digital content supplements physical displays.</w:t>
      </w:r>
    </w:p>
    <w:p>
      <w:pPr>
        <w:pStyle w:val="Heading1"/>
      </w:pPr>
      <w:r>
        <w:t>Visitor Experience</w:t>
      </w:r>
    </w:p>
    <w:p>
      <w:r>
        <w:t>Visitors should be able to explore independently or through guided tours. Exhibits encourage discovery through demonstrations, multimedia, hands-on learning zones, and Keeper-hosted presentations.</w:t>
      </w:r>
    </w:p>
    <w:p>
      <w:pPr>
        <w:pStyle w:val="Heading1"/>
      </w:pPr>
      <w:r>
        <w:t>Collection Rotation</w:t>
      </w:r>
    </w:p>
    <w:p>
      <w:r>
        <w:t>Permanent galleries establish the identity of Keeper HQ, while rotating exhibitions keep the museum fresh, showcase community collections, and highlight new discoveries without altering the museum's core narrative.</w:t>
      </w:r>
    </w:p>
    <w:p>
      <w:pPr>
        <w:pStyle w:val="Heading1"/>
      </w:pPr>
      <w:r>
        <w:t>Canon Rules</w:t>
      </w:r>
    </w:p>
    <w:p>
      <w:r>
        <w:t>Museum galleries remain consistent in purpose across animation, games, publishing, attractions, and merchandise. Individual exhibits may change, but the museum always represents education, preservation, and community.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museum gallery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