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36: The Grand Archive &amp; Knowledge Vault</w:t>
      </w:r>
    </w:p>
    <w:p>
      <w:pPr>
        <w:pStyle w:val="Heading1"/>
      </w:pPr>
      <w:r>
        <w:t>Purpose</w:t>
      </w:r>
    </w:p>
    <w:p>
      <w:r>
        <w:t>The Grand Archive is the definitive repository of Collectiverse knowledge. It safeguards the history, provenance, research, mission records, and educational resources that allow collectors and future Keepers to understand the past and preserve it for generations.</w:t>
      </w:r>
    </w:p>
    <w:p>
      <w:pPr>
        <w:pStyle w:val="Heading1"/>
      </w:pPr>
      <w:r>
        <w:t>Core Philosophy</w:t>
      </w:r>
    </w:p>
    <w:p>
      <w:pPr>
        <w:pStyle w:val="ListBullet"/>
      </w:pPr>
      <w:r>
        <w:t>Knowledge is preserved, never hoarded.</w:t>
      </w:r>
    </w:p>
    <w:p>
      <w:pPr>
        <w:pStyle w:val="ListBullet"/>
      </w:pPr>
      <w:r>
        <w:t>Accuracy takes precedence over speed.</w:t>
      </w:r>
    </w:p>
    <w:p>
      <w:pPr>
        <w:pStyle w:val="ListBullet"/>
      </w:pPr>
      <w:r>
        <w:t>Every verified discovery strengthens the Archive.</w:t>
      </w:r>
    </w:p>
    <w:p>
      <w:pPr>
        <w:pStyle w:val="ListBullet"/>
      </w:pPr>
      <w:r>
        <w:t>Information should be searchable, understandable, and enduring.</w:t>
      </w:r>
    </w:p>
    <w:p>
      <w:pPr>
        <w:pStyle w:val="ListBullet"/>
      </w:pPr>
      <w:r>
        <w:t>Physical and digital records complement one another.</w:t>
      </w:r>
    </w:p>
    <w:p>
      <w:pPr>
        <w:pStyle w:val="Heading1"/>
      </w:pPr>
      <w:r>
        <w:t>Archive Collections</w:t>
      </w:r>
    </w:p>
    <w:tbl>
      <w:tblPr>
        <w:tblStyle w:val="TableGrid"/>
        <w:tblW w:type="auto" w:w="0"/>
        <w:tblLook w:firstColumn="1" w:firstRow="1" w:lastColumn="0" w:lastRow="0" w:noHBand="0" w:noVBand="1" w:val="04A0"/>
      </w:tblPr>
      <w:tblGrid>
        <w:gridCol w:w="4320"/>
        <w:gridCol w:w="4320"/>
      </w:tblGrid>
      <w:tr>
        <w:tc>
          <w:tcPr>
            <w:tcW w:type="dxa" w:w="4320"/>
          </w:tcPr>
          <w:p>
            <w:r>
              <w:t>Collection</w:t>
            </w:r>
          </w:p>
        </w:tc>
        <w:tc>
          <w:tcPr>
            <w:tcW w:type="dxa" w:w="4320"/>
          </w:tcPr>
          <w:p>
            <w:r>
              <w:t>Contents</w:t>
            </w:r>
          </w:p>
        </w:tc>
      </w:tr>
      <w:tr>
        <w:tc>
          <w:tcPr>
            <w:tcW w:type="dxa" w:w="4320"/>
          </w:tcPr>
          <w:p>
            <w:r>
              <w:t>Mission Records</w:t>
            </w:r>
          </w:p>
        </w:tc>
        <w:tc>
          <w:tcPr>
            <w:tcW w:type="dxa" w:w="4320"/>
          </w:tcPr>
          <w:p>
            <w:r>
              <w:t>Operational reports, evidence, photographs, and timelines</w:t>
            </w:r>
          </w:p>
        </w:tc>
      </w:tr>
      <w:tr>
        <w:tc>
          <w:tcPr>
            <w:tcW w:type="dxa" w:w="4320"/>
          </w:tcPr>
          <w:p>
            <w:r>
              <w:t>Artifact Registry</w:t>
            </w:r>
          </w:p>
        </w:tc>
        <w:tc>
          <w:tcPr>
            <w:tcW w:type="dxa" w:w="4320"/>
          </w:tcPr>
          <w:p>
            <w:r>
              <w:t>Authentication, provenance, ownership history, and condition records</w:t>
            </w:r>
          </w:p>
        </w:tc>
      </w:tr>
      <w:tr>
        <w:tc>
          <w:tcPr>
            <w:tcW w:type="dxa" w:w="4320"/>
          </w:tcPr>
          <w:p>
            <w:r>
              <w:t>Collector Knowledge</w:t>
            </w:r>
          </w:p>
        </w:tc>
        <w:tc>
          <w:tcPr>
            <w:tcW w:type="dxa" w:w="4320"/>
          </w:tcPr>
          <w:p>
            <w:r>
              <w:t>Research papers, educational material, interviews, and guides</w:t>
            </w:r>
          </w:p>
        </w:tc>
      </w:tr>
      <w:tr>
        <w:tc>
          <w:tcPr>
            <w:tcW w:type="dxa" w:w="4320"/>
          </w:tcPr>
          <w:p>
            <w:r>
              <w:t>Historical Library</w:t>
            </w:r>
          </w:p>
        </w:tc>
        <w:tc>
          <w:tcPr>
            <w:tcW w:type="dxa" w:w="4320"/>
          </w:tcPr>
          <w:p>
            <w:r>
              <w:t>Books, catalogs, journals, auction references, and publications</w:t>
            </w:r>
          </w:p>
        </w:tc>
      </w:tr>
      <w:tr>
        <w:tc>
          <w:tcPr>
            <w:tcW w:type="dxa" w:w="4320"/>
          </w:tcPr>
          <w:p>
            <w:r>
              <w:t>Digital Repository</w:t>
            </w:r>
          </w:p>
        </w:tc>
        <w:tc>
          <w:tcPr>
            <w:tcW w:type="dxa" w:w="4320"/>
          </w:tcPr>
          <w:p>
            <w:r>
              <w:t>Scans, 3D models, audio, video, and interactive media</w:t>
            </w:r>
          </w:p>
        </w:tc>
      </w:tr>
      <w:tr>
        <w:tc>
          <w:tcPr>
            <w:tcW w:type="dxa" w:w="4320"/>
          </w:tcPr>
          <w:p>
            <w:r>
              <w:t>Canon Archive</w:t>
            </w:r>
          </w:p>
        </w:tc>
        <w:tc>
          <w:tcPr>
            <w:tcW w:type="dxa" w:w="4320"/>
          </w:tcPr>
          <w:p>
            <w:r>
              <w:t>Official franchise history, characters, locations, and world lore</w:t>
            </w:r>
          </w:p>
        </w:tc>
      </w:tr>
    </w:tbl>
    <w:p>
      <w:pPr>
        <w:pStyle w:val="Heading1"/>
      </w:pPr>
      <w:r>
        <w:t>Access Levels</w:t>
      </w:r>
    </w:p>
    <w:p>
      <w:r>
        <w:t>Public visitors may access educational collections, exhibits, and approved reference material. Researchers receive expanded access through authorization. Sensitive operational records, evidence, and security documentation remain restricted to authorized Keeper personnel.</w:t>
      </w:r>
    </w:p>
    <w:p>
      <w:pPr>
        <w:pStyle w:val="Heading1"/>
      </w:pPr>
      <w:r>
        <w:t>Preservation Standards</w:t>
      </w:r>
    </w:p>
    <w:p>
      <w:pPr>
        <w:pStyle w:val="ListBullet"/>
      </w:pPr>
      <w:r>
        <w:t>Maintain redundant physical and digital copies.</w:t>
      </w:r>
    </w:p>
    <w:p>
      <w:pPr>
        <w:pStyle w:val="ListBullet"/>
      </w:pPr>
      <w:r>
        <w:t>Track every revision with version history.</w:t>
      </w:r>
    </w:p>
    <w:p>
      <w:pPr>
        <w:pStyle w:val="ListBullet"/>
      </w:pPr>
      <w:r>
        <w:t>Preserve original source material whenever possible.</w:t>
      </w:r>
    </w:p>
    <w:p>
      <w:pPr>
        <w:pStyle w:val="ListBullet"/>
      </w:pPr>
      <w:r>
        <w:t>Verify provenance before permanent inclusion.</w:t>
      </w:r>
    </w:p>
    <w:p>
      <w:pPr>
        <w:pStyle w:val="ListBullet"/>
      </w:pPr>
      <w:r>
        <w:t>Continuously migrate digital records to supported formats.</w:t>
      </w:r>
    </w:p>
    <w:p>
      <w:pPr>
        <w:pStyle w:val="Heading1"/>
      </w:pPr>
      <w:r>
        <w:t>Educational Mission</w:t>
      </w:r>
    </w:p>
    <w:p>
      <w:r>
        <w:t>The Grand Archive serves as the intellectual heart of Collectiverse, transforming research into books, exhibits, training materials, digital experiences, and educational programs that inspire responsible collecting.</w:t>
      </w:r>
    </w:p>
    <w:p>
      <w:pPr>
        <w:pStyle w:val="Heading1"/>
      </w:pPr>
      <w:r>
        <w:t>Canon Rules</w:t>
      </w:r>
    </w:p>
    <w:p>
      <w:r>
        <w:t>The Grand Archive is the authoritative source for franchise continuity. Whenever conflicting information exists, the verified Archive record represents official canon unless superseded by a documented canonical revision.</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Grand Archive standards.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