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Franchise Standards</w:t>
      </w:r>
    </w:p>
    <w:p>
      <w:pPr>
        <w:jc w:val="center"/>
      </w:pPr>
      <w:r>
        <w:rPr>
          <w:b/>
        </w:rPr>
        <w:t>Volume 01 – Franchise Bible</w:t>
        <w:br/>
      </w:r>
      <w:r>
        <w:t>Part 42: Technology Infrastructure &amp; Digital Systems</w:t>
      </w:r>
    </w:p>
    <w:p>
      <w:pPr>
        <w:pStyle w:val="Heading1"/>
      </w:pPr>
      <w:r>
        <w:t>Purpose</w:t>
      </w:r>
    </w:p>
    <w:p>
      <w:r>
        <w:t>The technology infrastructure of Keeper HQ provides the digital foundation that connects every Keeper, mission, artifact, and knowledge source. It is designed to enhance human expertise while remaining secure, resilient, and trustworthy.</w:t>
      </w:r>
    </w:p>
    <w:p>
      <w:pPr>
        <w:pStyle w:val="Heading1"/>
      </w:pPr>
      <w:r>
        <w:t>Technology Philosophy</w:t>
      </w:r>
    </w:p>
    <w:p>
      <w:pPr>
        <w:pStyle w:val="ListBullet"/>
      </w:pPr>
      <w:r>
        <w:t>Technology supports preservation—not replaces expertise.</w:t>
      </w:r>
    </w:p>
    <w:p>
      <w:pPr>
        <w:pStyle w:val="ListBullet"/>
      </w:pPr>
      <w:r>
        <w:t>Security and privacy are built into every system.</w:t>
      </w:r>
    </w:p>
    <w:p>
      <w:pPr>
        <w:pStyle w:val="ListBullet"/>
      </w:pPr>
      <w:r>
        <w:t>Digital records complement physical artifacts.</w:t>
      </w:r>
    </w:p>
    <w:p>
      <w:pPr>
        <w:pStyle w:val="ListBullet"/>
      </w:pPr>
      <w:r>
        <w:t>Systems must remain reliable during emergencies.</w:t>
      </w:r>
    </w:p>
    <w:p>
      <w:pPr>
        <w:pStyle w:val="ListBullet"/>
      </w:pPr>
      <w:r>
        <w:t>Innovation is encouraged without compromising canon or authenticity.</w:t>
      </w:r>
    </w:p>
    <w:p>
      <w:pPr>
        <w:pStyle w:val="Heading1"/>
      </w:pPr>
      <w:r>
        <w:t>Core Platforms</w:t>
      </w:r>
    </w:p>
    <w:tbl>
      <w:tblPr>
        <w:tblStyle w:val="TableGrid"/>
        <w:tblW w:type="auto" w:w="0"/>
        <w:tblLook w:firstColumn="1" w:firstRow="1" w:lastColumn="0" w:lastRow="0" w:noHBand="0" w:noVBand="1" w:val="04A0"/>
      </w:tblPr>
      <w:tblGrid>
        <w:gridCol w:w="4320"/>
        <w:gridCol w:w="4320"/>
      </w:tblGrid>
      <w:tr>
        <w:tc>
          <w:tcPr>
            <w:tcW w:type="dxa" w:w="4320"/>
          </w:tcPr>
          <w:p>
            <w:r>
              <w:t>Platform</w:t>
            </w:r>
          </w:p>
        </w:tc>
        <w:tc>
          <w:tcPr>
            <w:tcW w:type="dxa" w:w="4320"/>
          </w:tcPr>
          <w:p>
            <w:r>
              <w:t>Purpose</w:t>
            </w:r>
          </w:p>
        </w:tc>
      </w:tr>
      <w:tr>
        <w:tc>
          <w:tcPr>
            <w:tcW w:type="dxa" w:w="4320"/>
          </w:tcPr>
          <w:p>
            <w:r>
              <w:t>AtlasNet</w:t>
            </w:r>
          </w:p>
        </w:tc>
        <w:tc>
          <w:tcPr>
            <w:tcW w:type="dxa" w:w="4320"/>
          </w:tcPr>
          <w:p>
            <w:r>
              <w:t>Secure operational network linking all Keeper systems</w:t>
            </w:r>
          </w:p>
        </w:tc>
      </w:tr>
      <w:tr>
        <w:tc>
          <w:tcPr>
            <w:tcW w:type="dxa" w:w="4320"/>
          </w:tcPr>
          <w:p>
            <w:r>
              <w:t>Knowledge Archive</w:t>
            </w:r>
          </w:p>
        </w:tc>
        <w:tc>
          <w:tcPr>
            <w:tcW w:type="dxa" w:w="4320"/>
          </w:tcPr>
          <w:p>
            <w:r>
              <w:t>Searchable repository for mission and artifact data</w:t>
            </w:r>
          </w:p>
        </w:tc>
      </w:tr>
      <w:tr>
        <w:tc>
          <w:tcPr>
            <w:tcW w:type="dxa" w:w="4320"/>
          </w:tcPr>
          <w:p>
            <w:r>
              <w:t>Artifact Registry</w:t>
            </w:r>
          </w:p>
        </w:tc>
        <w:tc>
          <w:tcPr>
            <w:tcW w:type="dxa" w:w="4320"/>
          </w:tcPr>
          <w:p>
            <w:r>
              <w:t>Authentication, provenance, and chain-of-custody records</w:t>
            </w:r>
          </w:p>
        </w:tc>
      </w:tr>
      <w:tr>
        <w:tc>
          <w:tcPr>
            <w:tcW w:type="dxa" w:w="4320"/>
          </w:tcPr>
          <w:p>
            <w:r>
              <w:t>Communications Grid</w:t>
            </w:r>
          </w:p>
        </w:tc>
        <w:tc>
          <w:tcPr>
            <w:tcW w:type="dxa" w:w="4320"/>
          </w:tcPr>
          <w:p>
            <w:r>
              <w:t>Voice, video, messaging, and field coordination</w:t>
            </w:r>
          </w:p>
        </w:tc>
      </w:tr>
      <w:tr>
        <w:tc>
          <w:tcPr>
            <w:tcW w:type="dxa" w:w="4320"/>
          </w:tcPr>
          <w:p>
            <w:r>
              <w:t>Analytics Engine</w:t>
            </w:r>
          </w:p>
        </w:tc>
        <w:tc>
          <w:tcPr>
            <w:tcW w:type="dxa" w:w="4320"/>
          </w:tcPr>
          <w:p>
            <w:r>
              <w:t>Decision support and trend analysis</w:t>
            </w:r>
          </w:p>
        </w:tc>
      </w:tr>
      <w:tr>
        <w:tc>
          <w:tcPr>
            <w:tcW w:type="dxa" w:w="4320"/>
          </w:tcPr>
          <w:p>
            <w:r>
              <w:t>Digital Twin Services</w:t>
            </w:r>
          </w:p>
        </w:tc>
        <w:tc>
          <w:tcPr>
            <w:tcW w:type="dxa" w:w="4320"/>
          </w:tcPr>
          <w:p>
            <w:r>
              <w:t>3D scans and virtual representations of artifacts</w:t>
            </w:r>
          </w:p>
        </w:tc>
      </w:tr>
    </w:tbl>
    <w:p>
      <w:pPr>
        <w:pStyle w:val="Heading1"/>
      </w:pPr>
      <w:r>
        <w:t>Cybersecurity Standards</w:t>
      </w:r>
    </w:p>
    <w:p>
      <w:pPr>
        <w:pStyle w:val="ListBullet"/>
      </w:pPr>
      <w:r>
        <w:t>Identity-based access control.</w:t>
      </w:r>
    </w:p>
    <w:p>
      <w:pPr>
        <w:pStyle w:val="ListBullet"/>
      </w:pPr>
      <w:r>
        <w:t>Encryption for data at rest and in transit.</w:t>
      </w:r>
    </w:p>
    <w:p>
      <w:pPr>
        <w:pStyle w:val="ListBullet"/>
      </w:pPr>
      <w:r>
        <w:t>Continuous monitoring and logging.</w:t>
      </w:r>
    </w:p>
    <w:p>
      <w:pPr>
        <w:pStyle w:val="ListBullet"/>
      </w:pPr>
      <w:r>
        <w:t>Routine backup and disaster recovery testing.</w:t>
      </w:r>
    </w:p>
    <w:p>
      <w:pPr>
        <w:pStyle w:val="ListBullet"/>
      </w:pPr>
      <w:r>
        <w:t>Zero-trust principles for critical systems.</w:t>
      </w:r>
    </w:p>
    <w:p>
      <w:pPr>
        <w:pStyle w:val="Heading1"/>
      </w:pPr>
      <w:r>
        <w:t>Artificial Intelligence</w:t>
      </w:r>
    </w:p>
    <w:p>
      <w:r>
        <w:t>AI assists with research, image analysis, document search, translation, anomaly detection, and pattern recognition. Final decisions involving authentication, restoration, or canon always remain the responsibility of qualified Keepers.</w:t>
      </w:r>
    </w:p>
    <w:p>
      <w:pPr>
        <w:pStyle w:val="Heading1"/>
      </w:pPr>
      <w:r>
        <w:t>Interoperability</w:t>
      </w:r>
    </w:p>
    <w:p>
      <w:r>
        <w:t>Technology platforms exchange information through documented interfaces, standardized metadata, and version-controlled APIs, ensuring long-term compatibility and future expansion.</w:t>
      </w:r>
    </w:p>
    <w:p>
      <w:pPr>
        <w:pStyle w:val="Heading1"/>
      </w:pPr>
      <w:r>
        <w:t>Canon Rules</w:t>
      </w:r>
    </w:p>
    <w:p>
      <w:r>
        <w:t>Technology should appear advanced yet believable. It enables discovery and preservation without overshadowing the characters or becoming the focus of the story.</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Status</w:t>
            </w:r>
          </w:p>
        </w:tc>
        <w:tc>
          <w:tcPr>
            <w:tcW w:type="dxa" w:w="2160"/>
          </w:tcPr>
          <w:p>
            <w:r>
              <w:t>Notes</w:t>
            </w:r>
          </w:p>
        </w:tc>
      </w:tr>
      <w:tr>
        <w:tc>
          <w:tcPr>
            <w:tcW w:type="dxa" w:w="2160"/>
          </w:tcPr>
          <w:p>
            <w:r>
              <w:t>1.0</w:t>
            </w:r>
          </w:p>
        </w:tc>
        <w:tc>
          <w:tcPr>
            <w:tcW w:type="dxa" w:w="2160"/>
          </w:tcPr>
          <w:p>
            <w:r>
              <w:t>2026-07-25</w:t>
            </w:r>
          </w:p>
        </w:tc>
        <w:tc>
          <w:tcPr>
            <w:tcW w:type="dxa" w:w="2160"/>
          </w:tcPr>
          <w:p>
            <w:r>
              <w:t>Draft Canon</w:t>
            </w:r>
          </w:p>
        </w:tc>
        <w:tc>
          <w:tcPr>
            <w:tcW w:type="dxa" w:w="2160"/>
          </w:tcPr>
          <w:p>
            <w:r>
              <w:t>Initial technology infrastructure standards.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