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49: Visual Identity, Symbols &amp; Iconography</w:t>
      </w:r>
    </w:p>
    <w:p>
      <w:pPr>
        <w:pStyle w:val="Heading1"/>
      </w:pPr>
      <w:r>
        <w:t>Purpose</w:t>
      </w:r>
    </w:p>
    <w:p>
      <w:r>
        <w:t>This chapter defines the universal visual language of the Collectiverse franchise. It establishes the symbols, colors, emblems, typography, and recurring design elements that create instant brand recognition across every medium.</w:t>
      </w:r>
    </w:p>
    <w:p>
      <w:pPr>
        <w:pStyle w:val="Heading1"/>
      </w:pPr>
      <w:r>
        <w:t>Core Identity Principles</w:t>
      </w:r>
    </w:p>
    <w:p>
      <w:pPr>
        <w:pStyle w:val="ListBullet"/>
      </w:pPr>
      <w:r>
        <w:t>Visual consistency builds trust.</w:t>
      </w:r>
    </w:p>
    <w:p>
      <w:pPr>
        <w:pStyle w:val="ListBullet"/>
      </w:pPr>
      <w:r>
        <w:t>Symbols should communicate preservation, discovery, and community.</w:t>
      </w:r>
    </w:p>
    <w:p>
      <w:pPr>
        <w:pStyle w:val="ListBullet"/>
      </w:pPr>
      <w:r>
        <w:t>Designs must remain timeless rather than trend-driven.</w:t>
      </w:r>
    </w:p>
    <w:p>
      <w:pPr>
        <w:pStyle w:val="ListBullet"/>
      </w:pPr>
      <w:r>
        <w:t>Every official asset should reinforce the Collectiverse brand.</w:t>
      </w:r>
    </w:p>
    <w:p>
      <w:pPr>
        <w:pStyle w:val="ListBullet"/>
      </w:pPr>
      <w:r>
        <w:t>Accessibility and legibility take priority over decoration.</w:t>
      </w:r>
    </w:p>
    <w:p>
      <w:pPr>
        <w:pStyle w:val="Heading1"/>
      </w:pPr>
      <w:r>
        <w:t>Primary Franchise Symbols</w:t>
      </w:r>
    </w:p>
    <w:tbl>
      <w:tblPr>
        <w:tblStyle w:val="TableGrid"/>
        <w:tblW w:type="auto" w:w="0"/>
        <w:tblLook w:firstColumn="1" w:firstRow="1" w:lastColumn="0" w:lastRow="0" w:noHBand="0" w:noVBand="1" w:val="04A0"/>
      </w:tblPr>
      <w:tblGrid>
        <w:gridCol w:w="4320"/>
        <w:gridCol w:w="4320"/>
      </w:tblGrid>
      <w:tr>
        <w:tc>
          <w:tcPr>
            <w:tcW w:type="dxa" w:w="4320"/>
          </w:tcPr>
          <w:p>
            <w:r>
              <w:t>Symbol</w:t>
            </w:r>
          </w:p>
        </w:tc>
        <w:tc>
          <w:tcPr>
            <w:tcW w:type="dxa" w:w="4320"/>
          </w:tcPr>
          <w:p>
            <w:r>
              <w:t>Meaning</w:t>
            </w:r>
          </w:p>
        </w:tc>
      </w:tr>
      <w:tr>
        <w:tc>
          <w:tcPr>
            <w:tcW w:type="dxa" w:w="4320"/>
          </w:tcPr>
          <w:p>
            <w:r>
              <w:t>Collectiverse Hex Badge</w:t>
            </w:r>
          </w:p>
        </w:tc>
        <w:tc>
          <w:tcPr>
            <w:tcW w:type="dxa" w:w="4320"/>
          </w:tcPr>
          <w:p>
            <w:r>
              <w:t>Unity, authenticity, and membership</w:t>
            </w:r>
          </w:p>
        </w:tc>
      </w:tr>
      <w:tr>
        <w:tc>
          <w:tcPr>
            <w:tcW w:type="dxa" w:w="4320"/>
          </w:tcPr>
          <w:p>
            <w:r>
              <w:t>Atlas Star</w:t>
            </w:r>
          </w:p>
        </w:tc>
        <w:tc>
          <w:tcPr>
            <w:tcW w:type="dxa" w:w="4320"/>
          </w:tcPr>
          <w:p>
            <w:r>
              <w:t>Leadership, hope, and guidance</w:t>
            </w:r>
          </w:p>
        </w:tc>
      </w:tr>
      <w:tr>
        <w:tc>
          <w:tcPr>
            <w:tcW w:type="dxa" w:w="4320"/>
          </w:tcPr>
          <w:p>
            <w:r>
              <w:t>Keeper Shield</w:t>
            </w:r>
          </w:p>
        </w:tc>
        <w:tc>
          <w:tcPr>
            <w:tcW w:type="dxa" w:w="4320"/>
          </w:tcPr>
          <w:p>
            <w:r>
              <w:t>Protection of history</w:t>
            </w:r>
          </w:p>
        </w:tc>
      </w:tr>
      <w:tr>
        <w:tc>
          <w:tcPr>
            <w:tcW w:type="dxa" w:w="4320"/>
          </w:tcPr>
          <w:p>
            <w:r>
              <w:t>Mission Beacon</w:t>
            </w:r>
          </w:p>
        </w:tc>
        <w:tc>
          <w:tcPr>
            <w:tcW w:type="dxa" w:w="4320"/>
          </w:tcPr>
          <w:p>
            <w:r>
              <w:t>Discovery and exploration</w:t>
            </w:r>
          </w:p>
        </w:tc>
      </w:tr>
      <w:tr>
        <w:tc>
          <w:tcPr>
            <w:tcW w:type="dxa" w:w="4320"/>
          </w:tcPr>
          <w:p>
            <w:r>
              <w:t>Archive Book</w:t>
            </w:r>
          </w:p>
        </w:tc>
        <w:tc>
          <w:tcPr>
            <w:tcW w:type="dxa" w:w="4320"/>
          </w:tcPr>
          <w:p>
            <w:r>
              <w:t>Knowledge and memory</w:t>
            </w:r>
          </w:p>
        </w:tc>
      </w:tr>
      <w:tr>
        <w:tc>
          <w:tcPr>
            <w:tcW w:type="dxa" w:w="4320"/>
          </w:tcPr>
          <w:p>
            <w:r>
              <w:t>Blue Energy Glow</w:t>
            </w:r>
          </w:p>
        </w:tc>
        <w:tc>
          <w:tcPr>
            <w:tcW w:type="dxa" w:w="4320"/>
          </w:tcPr>
          <w:p>
            <w:r>
              <w:t>Trust, technology, and preservation</w:t>
            </w:r>
          </w:p>
        </w:tc>
      </w:tr>
    </w:tbl>
    <w:p>
      <w:pPr>
        <w:pStyle w:val="Heading1"/>
      </w:pPr>
      <w:r>
        <w:t>Color Language</w:t>
      </w:r>
    </w:p>
    <w:p>
      <w:r>
        <w:t>Blue represents trust and preservation; gold symbolizes achievement and legacy; white reflects integrity and openness; charcoal conveys strength and professionalism; accent colors distinguish individual characters while remaining subordinate to the core palette.</w:t>
      </w:r>
    </w:p>
    <w:p>
      <w:pPr>
        <w:pStyle w:val="Heading1"/>
      </w:pPr>
      <w:r>
        <w:t>Typography &amp; Graphics</w:t>
      </w:r>
    </w:p>
    <w:p>
      <w:pPr>
        <w:pStyle w:val="ListBullet"/>
      </w:pPr>
      <w:r>
        <w:t>Use clean, modern sans-serif typography for primary communications.</w:t>
      </w:r>
    </w:p>
    <w:p>
      <w:pPr>
        <w:pStyle w:val="ListBullet"/>
      </w:pPr>
      <w:r>
        <w:t>Icons should use simple geometric forms.</w:t>
      </w:r>
    </w:p>
    <w:p>
      <w:pPr>
        <w:pStyle w:val="ListBullet"/>
      </w:pPr>
      <w:r>
        <w:t>Avoid visual clutter and excessive ornamentation.</w:t>
      </w:r>
    </w:p>
    <w:p>
      <w:pPr>
        <w:pStyle w:val="ListBullet"/>
      </w:pPr>
      <w:r>
        <w:t>Maintain consistent spacing, proportions, and badge placement.</w:t>
      </w:r>
    </w:p>
    <w:p>
      <w:pPr>
        <w:pStyle w:val="Heading1"/>
      </w:pPr>
      <w:r>
        <w:t>Canon Rules</w:t>
      </w:r>
    </w:p>
    <w:p>
      <w:r>
        <w:t>Official character designs, franchise symbols, and visual identity standards may evolve only through approved production updates. Core identifiers—including the Collectiverse badge, Atlas identity, and Keeper visual language—must remain recognizable across all media and licensed products.</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visual identity standards.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