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Collectiverse Franchise Standards</w:t>
      </w:r>
    </w:p>
    <w:p>
      <w:pPr>
        <w:jc w:val="center"/>
      </w:pPr>
      <w:r>
        <w:rPr>
          <w:b/>
        </w:rPr>
        <w:t>Volume 01 – Franchise Bible</w:t>
        <w:br/>
      </w:r>
      <w:r>
        <w:t>Part 17: Keeper Training, Certification &amp; Professional Standards</w:t>
      </w:r>
    </w:p>
    <w:p>
      <w:pPr>
        <w:pStyle w:val="Heading1"/>
      </w:pPr>
      <w:r>
        <w:t>Purpose</w:t>
      </w:r>
    </w:p>
    <w:p>
      <w:r>
        <w:t>This chapter defines how Keepers develop from promising recruits into trusted guardians of authenticity. Training emphasizes knowledge, character, teamwork, and lifelong learning over physical prowess alone.</w:t>
      </w:r>
    </w:p>
    <w:p>
      <w:pPr>
        <w:pStyle w:val="Heading1"/>
      </w:pPr>
      <w:r>
        <w:t>Training Philosophy</w:t>
      </w:r>
    </w:p>
    <w:p>
      <w:r>
        <w:t>Every Keeper is both a specialist and a teacher. Training never truly ends. Each mission contributes new knowledge that is documented, shared, and incorporated into future instruction.</w:t>
      </w:r>
    </w:p>
    <w:p>
      <w:pPr>
        <w:pStyle w:val="Heading1"/>
      </w:pPr>
      <w:r>
        <w:t>Core Training Disciplines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Discipline</w:t>
            </w:r>
          </w:p>
        </w:tc>
        <w:tc>
          <w:tcPr>
            <w:tcW w:type="dxa" w:w="4320"/>
          </w:tcPr>
          <w:p>
            <w:r>
              <w:t>Primary Focus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Identifying genuine items, detecting counterfeits, and documenting provenance.</w:t>
            </w:r>
          </w:p>
        </w:tc>
      </w:tr>
      <w:tr>
        <w:tc>
          <w:tcPr>
            <w:tcW w:type="dxa" w:w="4320"/>
          </w:tcPr>
          <w:p>
            <w:r>
              <w:t>Preservation</w:t>
            </w:r>
          </w:p>
        </w:tc>
        <w:tc>
          <w:tcPr>
            <w:tcW w:type="dxa" w:w="4320"/>
          </w:tcPr>
          <w:p>
            <w:r>
              <w:t>Proper handling, storage, conservation, and environmental protection.</w:t>
            </w:r>
          </w:p>
        </w:tc>
      </w:tr>
      <w:tr>
        <w:tc>
          <w:tcPr>
            <w:tcW w:type="dxa" w:w="4320"/>
          </w:tcPr>
          <w:p>
            <w:r>
              <w:t>Historical Research</w:t>
            </w:r>
          </w:p>
        </w:tc>
        <w:tc>
          <w:tcPr>
            <w:tcW w:type="dxa" w:w="4320"/>
          </w:tcPr>
          <w:p>
            <w:r>
              <w:t>Research methodology, archives, museums, and primary source analysis.</w:t>
            </w:r>
          </w:p>
        </w:tc>
      </w:tr>
      <w:tr>
        <w:tc>
          <w:tcPr>
            <w:tcW w:type="dxa" w:w="4320"/>
          </w:tcPr>
          <w:p>
            <w:r>
              <w:t>Field Investigation</w:t>
            </w:r>
          </w:p>
        </w:tc>
        <w:tc>
          <w:tcPr>
            <w:tcW w:type="dxa" w:w="4320"/>
          </w:tcPr>
          <w:p>
            <w:r>
              <w:t>Observation, interviews, evidence collection, and documentation.</w:t>
            </w:r>
          </w:p>
        </w:tc>
      </w:tr>
      <w:tr>
        <w:tc>
          <w:tcPr>
            <w:tcW w:type="dxa" w:w="4320"/>
          </w:tcPr>
          <w:p>
            <w:r>
              <w:t>Community Engagement</w:t>
            </w:r>
          </w:p>
        </w:tc>
        <w:tc>
          <w:tcPr>
            <w:tcW w:type="dxa" w:w="4320"/>
          </w:tcPr>
          <w:p>
            <w:r>
              <w:t>Public speaking, education, mentorship, and conflict resolution.</w:t>
            </w:r>
          </w:p>
        </w:tc>
      </w:tr>
      <w:tr>
        <w:tc>
          <w:tcPr>
            <w:tcW w:type="dxa" w:w="4320"/>
          </w:tcPr>
          <w:p>
            <w:r>
              <w:t>Technology</w:t>
            </w:r>
          </w:p>
        </w:tc>
        <w:tc>
          <w:tcPr>
            <w:tcW w:type="dxa" w:w="4320"/>
          </w:tcPr>
          <w:p>
            <w:r>
              <w:t>Operation of Keeper equipment, databases, scanners, and mission systems.</w:t>
            </w:r>
          </w:p>
        </w:tc>
      </w:tr>
      <w:tr>
        <w:tc>
          <w:tcPr>
            <w:tcW w:type="dxa" w:w="4320"/>
          </w:tcPr>
          <w:p>
            <w:r>
              <w:t>Ethics</w:t>
            </w:r>
          </w:p>
        </w:tc>
        <w:tc>
          <w:tcPr>
            <w:tcW w:type="dxa" w:w="4320"/>
          </w:tcPr>
          <w:p>
            <w:r>
              <w:t>Professional conduct, cultural respect, and stewardship responsibilities.</w:t>
            </w:r>
          </w:p>
        </w:tc>
      </w:tr>
    </w:tbl>
    <w:p>
      <w:pPr>
        <w:pStyle w:val="Heading1"/>
      </w:pPr>
      <w:r>
        <w:t>Certification Levels</w:t>
      </w:r>
    </w:p>
    <w:p>
      <w:pPr>
        <w:pStyle w:val="ListBullet"/>
      </w:pPr>
      <w:r>
        <w:t>Apprentice Keeper</w:t>
      </w:r>
    </w:p>
    <w:p>
      <w:pPr>
        <w:pStyle w:val="ListBullet"/>
      </w:pPr>
      <w:r>
        <w:t>Field Keeper</w:t>
      </w:r>
    </w:p>
    <w:p>
      <w:pPr>
        <w:pStyle w:val="ListBullet"/>
      </w:pPr>
      <w:r>
        <w:t>Senior Keeper</w:t>
      </w:r>
    </w:p>
    <w:p>
      <w:pPr>
        <w:pStyle w:val="ListBullet"/>
      </w:pPr>
      <w:r>
        <w:t>Master Keeper</w:t>
      </w:r>
    </w:p>
    <w:p>
      <w:pPr>
        <w:pStyle w:val="ListBullet"/>
      </w:pPr>
      <w:r>
        <w:t>Keeper Mentor</w:t>
      </w:r>
    </w:p>
    <w:p>
      <w:pPr>
        <w:pStyle w:val="Heading1"/>
      </w:pPr>
      <w:r>
        <w:t>Professional Standards</w:t>
      </w:r>
    </w:p>
    <w:p>
      <w:pPr>
        <w:pStyle w:val="ListBullet"/>
      </w:pPr>
      <w:r>
        <w:t>Demonstrate integrity in every interaction.</w:t>
      </w:r>
    </w:p>
    <w:p>
      <w:pPr>
        <w:pStyle w:val="ListBullet"/>
      </w:pPr>
      <w:r>
        <w:t>Continue learning throughout one's career.</w:t>
      </w:r>
    </w:p>
    <w:p>
      <w:pPr>
        <w:pStyle w:val="ListBullet"/>
      </w:pPr>
      <w:r>
        <w:t>Document discoveries accurately and completely.</w:t>
      </w:r>
    </w:p>
    <w:p>
      <w:pPr>
        <w:pStyle w:val="ListBullet"/>
      </w:pPr>
      <w:r>
        <w:t>Share knowledge generously with the collecting community.</w:t>
      </w:r>
    </w:p>
    <w:p>
      <w:pPr>
        <w:pStyle w:val="ListBullet"/>
      </w:pPr>
      <w:r>
        <w:t>Protect people before protecting objects.</w:t>
      </w:r>
    </w:p>
    <w:p>
      <w:pPr>
        <w:pStyle w:val="ListBullet"/>
      </w:pPr>
      <w:r>
        <w:t>Represent the Keepers with humility and professionalism.</w:t>
      </w:r>
    </w:p>
    <w:p>
      <w:pPr>
        <w:pStyle w:val="Heading1"/>
      </w:pPr>
      <w:r>
        <w:t>Continuing Education</w:t>
      </w:r>
    </w:p>
    <w:p>
      <w:r>
        <w:t>Every Keeper participates in ongoing education through workshops, research projects, cross-disciplinary mentoring, museum collaborations, and post-mission reviews. Continuous improvement is considered part of every Keeper's duty.</w:t>
      </w:r>
    </w:p>
    <w:p>
      <w:pPr>
        <w:pStyle w:val="Heading1"/>
      </w:pPr>
      <w:r>
        <w:t>Canon Rules</w:t>
      </w:r>
    </w:p>
    <w:p>
      <w:r>
        <w:t>Future stories may introduce additional certifications and specialties, but all training programs must reinforce the franchise's four pillars: authenticity, preservation, education, and community.</w:t>
      </w:r>
    </w:p>
    <w:p>
      <w:pPr>
        <w:pStyle w:val="Heading1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2026-07-25</w:t>
            </w:r>
          </w:p>
        </w:tc>
        <w:tc>
          <w:tcPr>
            <w:tcW w:type="dxa" w:w="2160"/>
          </w:tcPr>
          <w:p>
            <w:r>
              <w:t>Draft Canon</w:t>
            </w:r>
          </w:p>
        </w:tc>
        <w:tc>
          <w:tcPr>
            <w:tcW w:type="dxa" w:w="2160"/>
          </w:tcPr>
          <w:p>
            <w:r>
              <w:t>Initial training and certification chapter.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