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23: Emergency Response Protocols</w:t>
      </w:r>
    </w:p>
    <w:p>
      <w:pPr>
        <w:pStyle w:val="Heading1"/>
      </w:pPr>
      <w:r>
        <w:t>Purpose</w:t>
      </w:r>
    </w:p>
    <w:p>
      <w:r>
        <w:t>This chapter defines the standardized emergency response procedures followed by the Keepers when lives, collections, facilities, or historical knowledge are placed at immediate risk.</w:t>
      </w:r>
    </w:p>
    <w:p>
      <w:pPr>
        <w:pStyle w:val="Heading1"/>
      </w:pPr>
      <w:r>
        <w:t>Guiding Principles</w:t>
      </w:r>
    </w:p>
    <w:p>
      <w:pPr>
        <w:pStyle w:val="ListBullet"/>
      </w:pPr>
      <w:r>
        <w:t>Protect people before collectibles.</w:t>
      </w:r>
    </w:p>
    <w:p>
      <w:pPr>
        <w:pStyle w:val="ListBullet"/>
      </w:pPr>
      <w:r>
        <w:t>Stabilize the situation before recovery.</w:t>
      </w:r>
    </w:p>
    <w:p>
      <w:pPr>
        <w:pStyle w:val="ListBullet"/>
      </w:pPr>
      <w:r>
        <w:t>Preserve evidence and provenance.</w:t>
      </w:r>
    </w:p>
    <w:p>
      <w:pPr>
        <w:pStyle w:val="ListBullet"/>
      </w:pPr>
      <w:r>
        <w:t>Coordinate with local authorities when appropriate.</w:t>
      </w:r>
    </w:p>
    <w:p>
      <w:pPr>
        <w:pStyle w:val="ListBullet"/>
      </w:pPr>
      <w:r>
        <w:t>Document every major action.</w:t>
      </w:r>
    </w:p>
    <w:p>
      <w:pPr>
        <w:pStyle w:val="Heading1"/>
      </w:pPr>
      <w:r>
        <w:t>Emergency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Incident</w:t>
            </w:r>
          </w:p>
        </w:tc>
        <w:tc>
          <w:tcPr>
            <w:tcW w:type="dxa" w:w="2880"/>
          </w:tcPr>
          <w:p>
            <w:r>
              <w:t>Primary Objective</w:t>
            </w:r>
          </w:p>
        </w:tc>
        <w:tc>
          <w:tcPr>
            <w:tcW w:type="dxa" w:w="2880"/>
          </w:tcPr>
          <w:p>
            <w:r>
              <w:t>Lead Keeper</w:t>
            </w:r>
          </w:p>
        </w:tc>
      </w:tr>
      <w:tr>
        <w:tc>
          <w:tcPr>
            <w:tcW w:type="dxa" w:w="2880"/>
          </w:tcPr>
          <w:p>
            <w:r>
              <w:t>Fire/Smoke</w:t>
            </w:r>
          </w:p>
        </w:tc>
        <w:tc>
          <w:tcPr>
            <w:tcW w:type="dxa" w:w="2880"/>
          </w:tcPr>
          <w:p>
            <w:r>
              <w:t>Evacuate and stabilize</w:t>
            </w:r>
          </w:p>
        </w:tc>
        <w:tc>
          <w:tcPr>
            <w:tcW w:type="dxa" w:w="2880"/>
          </w:tcPr>
          <w:p>
            <w:r>
              <w:t>Porter</w:t>
            </w:r>
          </w:p>
        </w:tc>
      </w:tr>
      <w:tr>
        <w:tc>
          <w:tcPr>
            <w:tcW w:type="dxa" w:w="2880"/>
          </w:tcPr>
          <w:p>
            <w:r>
              <w:t>Flood/Water</w:t>
            </w:r>
          </w:p>
        </w:tc>
        <w:tc>
          <w:tcPr>
            <w:tcW w:type="dxa" w:w="2880"/>
          </w:tcPr>
          <w:p>
            <w:r>
              <w:t>Prevent further damage</w:t>
            </w:r>
          </w:p>
        </w:tc>
        <w:tc>
          <w:tcPr>
            <w:tcW w:type="dxa" w:w="2880"/>
          </w:tcPr>
          <w:p>
            <w:r>
              <w:t>Forge</w:t>
            </w:r>
          </w:p>
        </w:tc>
      </w:tr>
      <w:tr>
        <w:tc>
          <w:tcPr>
            <w:tcW w:type="dxa" w:w="2880"/>
          </w:tcPr>
          <w:p>
            <w:r>
              <w:t>Theft/Smuggling</w:t>
            </w:r>
          </w:p>
        </w:tc>
        <w:tc>
          <w:tcPr>
            <w:tcW w:type="dxa" w:w="2880"/>
          </w:tcPr>
          <w:p>
            <w:r>
              <w:t>Recover artifact and evidence</w:t>
            </w:r>
          </w:p>
        </w:tc>
        <w:tc>
          <w:tcPr>
            <w:tcW w:type="dxa" w:w="2880"/>
          </w:tcPr>
          <w:p>
            <w:r>
              <w:t>Pixel</w:t>
            </w:r>
          </w:p>
        </w:tc>
      </w:tr>
      <w:tr>
        <w:tc>
          <w:tcPr>
            <w:tcW w:type="dxa" w:w="2880"/>
          </w:tcPr>
          <w:p>
            <w:r>
              <w:t>Counterfeit Discovery</w:t>
            </w:r>
          </w:p>
        </w:tc>
        <w:tc>
          <w:tcPr>
            <w:tcW w:type="dxa" w:w="2880"/>
          </w:tcPr>
          <w:p>
            <w:r>
              <w:t>Authenticate and isolate</w:t>
            </w:r>
          </w:p>
        </w:tc>
        <w:tc>
          <w:tcPr>
            <w:tcW w:type="dxa" w:w="2880"/>
          </w:tcPr>
          <w:p>
            <w:r>
              <w:t>Sterling</w:t>
            </w:r>
          </w:p>
        </w:tc>
      </w:tr>
      <w:tr>
        <w:tc>
          <w:tcPr>
            <w:tcW w:type="dxa" w:w="2880"/>
          </w:tcPr>
          <w:p>
            <w:r>
              <w:t>Knowledge Loss</w:t>
            </w:r>
          </w:p>
        </w:tc>
        <w:tc>
          <w:tcPr>
            <w:tcW w:type="dxa" w:w="2880"/>
          </w:tcPr>
          <w:p>
            <w:r>
              <w:t>Recover records and history</w:t>
            </w:r>
          </w:p>
        </w:tc>
        <w:tc>
          <w:tcPr>
            <w:tcW w:type="dxa" w:w="2880"/>
          </w:tcPr>
          <w:p>
            <w:r>
              <w:t>Ink &amp; Echo</w:t>
            </w:r>
          </w:p>
        </w:tc>
      </w:tr>
      <w:tr>
        <w:tc>
          <w:tcPr>
            <w:tcW w:type="dxa" w:w="2880"/>
          </w:tcPr>
          <w:p>
            <w:r>
              <w:t>Cyber/Archive Breach</w:t>
            </w:r>
          </w:p>
        </w:tc>
        <w:tc>
          <w:tcPr>
            <w:tcW w:type="dxa" w:w="2880"/>
          </w:tcPr>
          <w:p>
            <w:r>
              <w:t>Protect digital records</w:t>
            </w:r>
          </w:p>
        </w:tc>
        <w:tc>
          <w:tcPr>
            <w:tcW w:type="dxa" w:w="2880"/>
          </w:tcPr>
          <w:p>
            <w:r>
              <w:t>Atlas with Pixel</w:t>
            </w:r>
          </w:p>
        </w:tc>
      </w:tr>
    </w:tbl>
    <w:p>
      <w:pPr>
        <w:pStyle w:val="Heading1"/>
      </w:pPr>
      <w:r>
        <w:t>Standard Response Phases</w:t>
      </w:r>
    </w:p>
    <w:p>
      <w:r>
        <w:t>1. Detect and verify the incident.</w:t>
      </w:r>
    </w:p>
    <w:p>
      <w:r>
        <w:t>2. Protect people and establish a safe perimeter.</w:t>
      </w:r>
    </w:p>
    <w:p>
      <w:r>
        <w:t>3. Preserve the artifact and surrounding evidence.</w:t>
      </w:r>
    </w:p>
    <w:p>
      <w:r>
        <w:t>4. Coordinate recovery operations.</w:t>
      </w:r>
    </w:p>
    <w:p>
      <w:r>
        <w:t>5. Restore normal operations and conduct a post-incident review.</w:t>
      </w:r>
    </w:p>
    <w:p>
      <w:pPr>
        <w:pStyle w:val="Heading1"/>
      </w:pPr>
      <w:r>
        <w:t>Communications</w:t>
      </w:r>
    </w:p>
    <w:p>
      <w:r>
        <w:t>Atlas maintains the common operational picture, tracks team status, and records all major decisions in the mission archive. Clear, calm communication is expected throughout every response.</w:t>
      </w:r>
    </w:p>
    <w:p>
      <w:pPr>
        <w:pStyle w:val="Heading1"/>
      </w:pPr>
      <w:r>
        <w:t>Post-Incident Review</w:t>
      </w:r>
    </w:p>
    <w:p>
      <w:pPr>
        <w:pStyle w:val="ListBullet"/>
      </w:pPr>
      <w:r>
        <w:t>Document timeline and decisions.</w:t>
      </w:r>
    </w:p>
    <w:p>
      <w:pPr>
        <w:pStyle w:val="ListBullet"/>
      </w:pPr>
      <w:r>
        <w:t>Assess damage and recovery success.</w:t>
      </w:r>
    </w:p>
    <w:p>
      <w:pPr>
        <w:pStyle w:val="ListBullet"/>
      </w:pPr>
      <w:r>
        <w:t>Identify lessons learned.</w:t>
      </w:r>
    </w:p>
    <w:p>
      <w:pPr>
        <w:pStyle w:val="ListBullet"/>
      </w:pPr>
      <w:r>
        <w:t>Update procedures if necessary.</w:t>
      </w:r>
    </w:p>
    <w:p>
      <w:pPr>
        <w:pStyle w:val="ListBullet"/>
      </w:pPr>
      <w:r>
        <w:t>Share educational findings when appropriate.</w:t>
      </w:r>
    </w:p>
    <w:p>
      <w:pPr>
        <w:pStyle w:val="Heading1"/>
      </w:pPr>
      <w:r>
        <w:t>Canon Rules</w:t>
      </w:r>
    </w:p>
    <w:p>
      <w:r>
        <w:t>Major emergency events become part of the permanent historical record and may influence future stories, training, and operational doctrine.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emergency response standards.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