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Atlas Character Master Specification</w:t>
        <w:br/>
      </w:r>
      <w:r>
        <w:t>Part 03: Color System, Materials &amp; Manufacturing Specifications</w:t>
      </w:r>
    </w:p>
    <w:p>
      <w:pPr>
        <w:pStyle w:val="Heading1"/>
      </w:pPr>
      <w:r>
        <w:t>Purpose</w:t>
      </w:r>
    </w:p>
    <w:p>
      <w:r>
        <w:t>This section defines the approved color system, material finishes, lighting behavior, and manufacturing requirements for Atlas. These specifications ensure that Atlas appears consistent across animation, games, print, collectibles, apparel, and licensed products.</w:t>
      </w:r>
    </w:p>
    <w:p>
      <w:pPr>
        <w:pStyle w:val="Heading1"/>
      </w:pPr>
      <w:r>
        <w:t>Color System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Component</w:t>
            </w:r>
          </w:p>
        </w:tc>
        <w:tc>
          <w:tcPr>
            <w:tcW w:type="dxa" w:w="1728"/>
          </w:tcPr>
          <w:p>
            <w:r>
              <w:t>Primary Color</w:t>
            </w:r>
          </w:p>
        </w:tc>
        <w:tc>
          <w:tcPr>
            <w:tcW w:type="dxa" w:w="1728"/>
          </w:tcPr>
          <w:p>
            <w:r>
              <w:t>Purpose</w:t>
            </w:r>
          </w:p>
        </w:tc>
        <w:tc>
          <w:tcPr>
            <w:tcW w:type="dxa" w:w="1728"/>
          </w:tcPr>
          <w:p>
            <w:r>
              <w:t>Finish</w:t>
            </w:r>
          </w:p>
        </w:tc>
        <w:tc>
          <w:tcPr>
            <w:tcW w:type="dxa" w:w="1728"/>
          </w:tcPr>
          <w:p>
            <w:r>
              <w:t>Notes</w:t>
            </w:r>
          </w:p>
        </w:tc>
      </w:tr>
      <w:tr>
        <w:tc>
          <w:tcPr>
            <w:tcW w:type="dxa" w:w="1728"/>
          </w:tcPr>
          <w:p>
            <w:r>
              <w:t>Outer Armor</w:t>
            </w:r>
          </w:p>
        </w:tc>
        <w:tc>
          <w:tcPr>
            <w:tcW w:type="dxa" w:w="1728"/>
          </w:tcPr>
          <w:p>
            <w:r>
              <w:t>White</w:t>
            </w:r>
          </w:p>
        </w:tc>
        <w:tc>
          <w:tcPr>
            <w:tcW w:type="dxa" w:w="1728"/>
          </w:tcPr>
          <w:p>
            <w:r>
              <w:t>Primary body shell</w:t>
            </w:r>
          </w:p>
        </w:tc>
        <w:tc>
          <w:tcPr>
            <w:tcW w:type="dxa" w:w="1728"/>
          </w:tcPr>
          <w:p>
            <w:r>
              <w:t>Satin</w:t>
            </w:r>
          </w:p>
        </w:tc>
        <w:tc>
          <w:tcPr>
            <w:tcW w:type="dxa" w:w="1728"/>
          </w:tcPr>
          <w:p>
            <w:r>
              <w:t>Clean, premium appearance</w:t>
            </w:r>
          </w:p>
        </w:tc>
      </w:tr>
      <w:tr>
        <w:tc>
          <w:tcPr>
            <w:tcW w:type="dxa" w:w="1728"/>
          </w:tcPr>
          <w:p>
            <w:r>
              <w:t>Accent Panels</w:t>
            </w:r>
          </w:p>
        </w:tc>
        <w:tc>
          <w:tcPr>
            <w:tcW w:type="dxa" w:w="1728"/>
          </w:tcPr>
          <w:p>
            <w:r>
              <w:t>Collectiverse Blue</w:t>
            </w:r>
          </w:p>
        </w:tc>
        <w:tc>
          <w:tcPr>
            <w:tcW w:type="dxa" w:w="1728"/>
          </w:tcPr>
          <w:p>
            <w:r>
              <w:t>Brand identity</w:t>
            </w:r>
          </w:p>
        </w:tc>
        <w:tc>
          <w:tcPr>
            <w:tcW w:type="dxa" w:w="1728"/>
          </w:tcPr>
          <w:p>
            <w:r>
              <w:t>Satin</w:t>
            </w:r>
          </w:p>
        </w:tc>
        <w:tc>
          <w:tcPr>
            <w:tcW w:type="dxa" w:w="1728"/>
          </w:tcPr>
          <w:p>
            <w:r>
              <w:t>Consistent across media</w:t>
            </w:r>
          </w:p>
        </w:tc>
      </w:tr>
      <w:tr>
        <w:tc>
          <w:tcPr>
            <w:tcW w:type="dxa" w:w="1728"/>
          </w:tcPr>
          <w:p>
            <w:r>
              <w:t>Visor</w:t>
            </w:r>
          </w:p>
        </w:tc>
        <w:tc>
          <w:tcPr>
            <w:tcW w:type="dxa" w:w="1728"/>
          </w:tcPr>
          <w:p>
            <w:r>
              <w:t>Gloss Black</w:t>
            </w:r>
          </w:p>
        </w:tc>
        <w:tc>
          <w:tcPr>
            <w:tcW w:type="dxa" w:w="1728"/>
          </w:tcPr>
          <w:p>
            <w:r>
              <w:t>Facial display</w:t>
            </w:r>
          </w:p>
        </w:tc>
        <w:tc>
          <w:tcPr>
            <w:tcW w:type="dxa" w:w="1728"/>
          </w:tcPr>
          <w:p>
            <w:r>
              <w:t>High Gloss</w:t>
            </w:r>
          </w:p>
        </w:tc>
        <w:tc>
          <w:tcPr>
            <w:tcW w:type="dxa" w:w="1728"/>
          </w:tcPr>
          <w:p>
            <w:r>
              <w:t>Never transparent</w:t>
            </w:r>
          </w:p>
        </w:tc>
      </w:tr>
      <w:tr>
        <w:tc>
          <w:tcPr>
            <w:tcW w:type="dxa" w:w="1728"/>
          </w:tcPr>
          <w:p>
            <w:r>
              <w:t>Eyes</w:t>
            </w:r>
          </w:p>
        </w:tc>
        <w:tc>
          <w:tcPr>
            <w:tcW w:type="dxa" w:w="1728"/>
          </w:tcPr>
          <w:p>
            <w:r>
              <w:t>Luminous Green</w:t>
            </w:r>
          </w:p>
        </w:tc>
        <w:tc>
          <w:tcPr>
            <w:tcW w:type="dxa" w:w="1728"/>
          </w:tcPr>
          <w:p>
            <w:r>
              <w:t>Emotional communication</w:t>
            </w:r>
          </w:p>
        </w:tc>
        <w:tc>
          <w:tcPr>
            <w:tcW w:type="dxa" w:w="1728"/>
          </w:tcPr>
          <w:p>
            <w:r>
              <w:t>Emissive</w:t>
            </w:r>
          </w:p>
        </w:tc>
        <w:tc>
          <w:tcPr>
            <w:tcW w:type="dxa" w:w="1728"/>
          </w:tcPr>
          <w:p>
            <w:r>
              <w:t>Always crescent shaped</w:t>
            </w:r>
          </w:p>
        </w:tc>
      </w:tr>
      <w:tr>
        <w:tc>
          <w:tcPr>
            <w:tcW w:type="dxa" w:w="1728"/>
          </w:tcPr>
          <w:p>
            <w:r>
              <w:t>Mouth Display</w:t>
            </w:r>
          </w:p>
        </w:tc>
        <w:tc>
          <w:tcPr>
            <w:tcW w:type="dxa" w:w="1728"/>
          </w:tcPr>
          <w:p>
            <w:r>
              <w:t>Orange</w:t>
            </w:r>
          </w:p>
        </w:tc>
        <w:tc>
          <w:tcPr>
            <w:tcW w:type="dxa" w:w="1728"/>
          </w:tcPr>
          <w:p>
            <w:r>
              <w:t>Expression display</w:t>
            </w:r>
          </w:p>
        </w:tc>
        <w:tc>
          <w:tcPr>
            <w:tcW w:type="dxa" w:w="1728"/>
          </w:tcPr>
          <w:p>
            <w:r>
              <w:t>Emissive</w:t>
            </w:r>
          </w:p>
        </w:tc>
        <w:tc>
          <w:tcPr>
            <w:tcW w:type="dxa" w:w="1728"/>
          </w:tcPr>
          <w:p>
            <w:r>
              <w:t>Digital panel effect</w:t>
            </w:r>
          </w:p>
        </w:tc>
      </w:tr>
      <w:tr>
        <w:tc>
          <w:tcPr>
            <w:tcW w:type="dxa" w:w="1728"/>
          </w:tcPr>
          <w:p>
            <w:r>
              <w:t>Chest Badge</w:t>
            </w:r>
          </w:p>
        </w:tc>
        <w:tc>
          <w:tcPr>
            <w:tcW w:type="dxa" w:w="1728"/>
          </w:tcPr>
          <w:p>
            <w:r>
              <w:t>Blue &amp; Gold</w:t>
            </w:r>
          </w:p>
        </w:tc>
        <w:tc>
          <w:tcPr>
            <w:tcW w:type="dxa" w:w="1728"/>
          </w:tcPr>
          <w:p>
            <w:r>
              <w:t>Brand symbol</w:t>
            </w:r>
          </w:p>
        </w:tc>
        <w:tc>
          <w:tcPr>
            <w:tcW w:type="dxa" w:w="1728"/>
          </w:tcPr>
          <w:p>
            <w:r>
              <w:t>Semi-gloss</w:t>
            </w:r>
          </w:p>
        </w:tc>
        <w:tc>
          <w:tcPr>
            <w:tcW w:type="dxa" w:w="1728"/>
          </w:tcPr>
          <w:p>
            <w:r>
              <w:t>Centered and unobstructed</w:t>
            </w:r>
          </w:p>
        </w:tc>
      </w:tr>
    </w:tbl>
    <w:p>
      <w:pPr>
        <w:pStyle w:val="Heading1"/>
      </w:pPr>
      <w:r>
        <w:t>Material Specifications</w:t>
      </w:r>
    </w:p>
    <w:p>
      <w:pPr>
        <w:pStyle w:val="ListBullet"/>
      </w:pPr>
      <w:r>
        <w:t>Armor panels use smooth painted metal with subtle edge radiusing.</w:t>
      </w:r>
    </w:p>
    <w:p>
      <w:pPr>
        <w:pStyle w:val="ListBullet"/>
      </w:pPr>
      <w:r>
        <w:t>Joint components use matte engineered composite materials.</w:t>
      </w:r>
    </w:p>
    <w:p>
      <w:pPr>
        <w:pStyle w:val="ListBullet"/>
      </w:pPr>
      <w:r>
        <w:t>Energy effects remain clean and controlled with no flame-like distortion.</w:t>
      </w:r>
    </w:p>
    <w:p>
      <w:pPr>
        <w:pStyle w:val="ListBullet"/>
      </w:pPr>
      <w:r>
        <w:t>Visible fasteners are minimized to preserve the friendly industrial design.</w:t>
      </w:r>
    </w:p>
    <w:p>
      <w:pPr>
        <w:pStyle w:val="ListBullet"/>
      </w:pPr>
      <w:r>
        <w:t>Materials should suggest durability without appearing militaristic.</w:t>
      </w:r>
    </w:p>
    <w:p>
      <w:pPr>
        <w:pStyle w:val="Heading1"/>
      </w:pPr>
      <w:r>
        <w:t>Lighting &amp; Rendering Standards</w:t>
      </w:r>
    </w:p>
    <w:p>
      <w:pPr>
        <w:pStyle w:val="ListBullet"/>
      </w:pPr>
      <w:r>
        <w:t>White armor should retain readable form under bright or dim lighting.</w:t>
      </w:r>
    </w:p>
    <w:p>
      <w:pPr>
        <w:pStyle w:val="ListBullet"/>
      </w:pPr>
      <w:r>
        <w:t>Blue accents should remain saturated without overpowering the design.</w:t>
      </w:r>
    </w:p>
    <w:p>
      <w:pPr>
        <w:pStyle w:val="ListBullet"/>
      </w:pPr>
      <w:r>
        <w:t>The visor should reflect the environment while preserving eye readability.</w:t>
      </w:r>
    </w:p>
    <w:p>
      <w:pPr>
        <w:pStyle w:val="ListBullet"/>
      </w:pPr>
      <w:r>
        <w:t>Metallic highlights should reinforce rounded forms rather than sharp edges.</w:t>
      </w:r>
    </w:p>
    <w:p>
      <w:pPr>
        <w:pStyle w:val="ListBullet"/>
      </w:pPr>
      <w:r>
        <w:t>Do not apply excessive weathering unless required by the story.</w:t>
      </w:r>
    </w:p>
    <w:p>
      <w:pPr>
        <w:pStyle w:val="Heading1"/>
      </w:pPr>
      <w:r>
        <w:t>Manufacturing Standards</w:t>
      </w:r>
    </w:p>
    <w:p>
      <w:r>
        <w:t>All licensed manufacturers should match approved digital color references as closely as possible. Molded parts must preserve Atlas's proportions, badge placement, facial geometry, and silhouette. Cosmetic simplification is acceptable only when necessary for safety or manufacturing, and must never alter Atlas's recognizable identity.</w:t>
      </w:r>
    </w:p>
    <w:p>
      <w:pPr>
        <w:pStyle w:val="Heading1"/>
      </w:pPr>
      <w:r>
        <w:t>Quality Assurance Checklist</w:t>
      </w:r>
    </w:p>
    <w:p>
      <w:pPr>
        <w:pStyle w:val="ListBullet"/>
      </w:pPr>
      <w:r>
        <w:t>Silhouette matches canonical model.</w:t>
      </w:r>
    </w:p>
    <w:p>
      <w:pPr>
        <w:pStyle w:val="ListBullet"/>
      </w:pPr>
      <w:r>
        <w:t>Color placement follows approved specification.</w:t>
      </w:r>
    </w:p>
    <w:p>
      <w:pPr>
        <w:pStyle w:val="ListBullet"/>
      </w:pPr>
      <w:r>
        <w:t>Chest badge is correctly positioned.</w:t>
      </w:r>
    </w:p>
    <w:p>
      <w:pPr>
        <w:pStyle w:val="ListBullet"/>
      </w:pPr>
      <w:r>
        <w:t>Visor, eyes, and mouth displays are proportionally accurate.</w:t>
      </w:r>
    </w:p>
    <w:p>
      <w:pPr>
        <w:pStyle w:val="ListBullet"/>
      </w:pPr>
      <w:r>
        <w:t>Materials and finishes match production intent.</w:t>
      </w:r>
    </w:p>
    <w:p>
      <w:pPr>
        <w:pStyle w:val="Heading1"/>
      </w:pPr>
      <w:r>
        <w:t>Production Notes</w:t>
      </w:r>
    </w:p>
    <w:p>
      <w:r>
        <w:t>Future sections will define Atlas's expression library, pose system, animation behavior, personality standards, and story usage using these material and color specifications as the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