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Atlas Character Master Specification</w:t>
        <w:br/>
      </w:r>
      <w:r>
        <w:t>Part 08: Licensing, Merchandise, Manufacturing &amp; Brand Protection Standards</w:t>
      </w:r>
    </w:p>
    <w:p>
      <w:pPr>
        <w:pStyle w:val="Heading1"/>
      </w:pPr>
      <w:r>
        <w:t>Purpose</w:t>
      </w:r>
    </w:p>
    <w:p>
      <w:r>
        <w:t>This section establishes the standards governing every licensed representation of Atlas. It ensures that toys, statues, plush, apparel, printed media, digital products, theme park assets, promotional artwork, and all other commercial uses remain visually and narratively consistent with the official Collectiverse canon.</w:t>
      </w:r>
    </w:p>
    <w:p>
      <w:pPr>
        <w:pStyle w:val="Heading1"/>
      </w:pPr>
      <w:r>
        <w:t>Approved Product Categories</w:t>
      </w:r>
    </w:p>
    <w:p>
      <w:pPr>
        <w:pStyle w:val="ListBullet"/>
      </w:pPr>
      <w:r>
        <w:t>Action figures and premium collectibles</w:t>
      </w:r>
    </w:p>
    <w:p>
      <w:pPr>
        <w:pStyle w:val="ListBullet"/>
      </w:pPr>
      <w:r>
        <w:t>Plush toys</w:t>
      </w:r>
    </w:p>
    <w:p>
      <w:pPr>
        <w:pStyle w:val="ListBullet"/>
      </w:pPr>
      <w:r>
        <w:t>PVC mini figures and blind-box collectibles</w:t>
      </w:r>
    </w:p>
    <w:p>
      <w:pPr>
        <w:pStyle w:val="ListBullet"/>
      </w:pPr>
      <w:r>
        <w:t>Statues and busts</w:t>
      </w:r>
    </w:p>
    <w:p>
      <w:pPr>
        <w:pStyle w:val="ListBullet"/>
      </w:pPr>
      <w:r>
        <w:t>Books, comics, and educational publications</w:t>
      </w:r>
    </w:p>
    <w:p>
      <w:pPr>
        <w:pStyle w:val="ListBullet"/>
      </w:pPr>
      <w:r>
        <w:t>Apparel and accessories</w:t>
      </w:r>
    </w:p>
    <w:p>
      <w:pPr>
        <w:pStyle w:val="ListBullet"/>
      </w:pPr>
      <w:r>
        <w:t>School supplies and stationery</w:t>
      </w:r>
    </w:p>
    <w:p>
      <w:pPr>
        <w:pStyle w:val="ListBullet"/>
      </w:pPr>
      <w:r>
        <w:t>Trading cards and promotional cards</w:t>
      </w:r>
    </w:p>
    <w:p>
      <w:pPr>
        <w:pStyle w:val="ListBullet"/>
      </w:pPr>
      <w:r>
        <w:t>Digital stickers, emojis, and avatars</w:t>
      </w:r>
    </w:p>
    <w:p>
      <w:pPr>
        <w:pStyle w:val="ListBullet"/>
      </w:pPr>
      <w:r>
        <w:t>Video games, AR/VR, and interactive experiences</w:t>
      </w:r>
    </w:p>
    <w:p>
      <w:pPr>
        <w:pStyle w:val="Heading1"/>
      </w:pPr>
      <w:r>
        <w:t>Visual Brand Standards</w:t>
      </w:r>
    </w:p>
    <w:p>
      <w:pPr>
        <w:pStyle w:val="ListBullet"/>
      </w:pPr>
      <w:r>
        <w:t>Atlas's silhouette must remain immediately recognizable.</w:t>
      </w:r>
    </w:p>
    <w:p>
      <w:pPr>
        <w:pStyle w:val="ListBullet"/>
      </w:pPr>
      <w:r>
        <w:t>The chest emblem is mandatory and may not be removed or replaced.</w:t>
      </w:r>
    </w:p>
    <w:p>
      <w:pPr>
        <w:pStyle w:val="ListBullet"/>
      </w:pPr>
      <w:r>
        <w:t>Primary colors, visor shape, and facial proportions must match the approved model.</w:t>
      </w:r>
    </w:p>
    <w:p>
      <w:pPr>
        <w:pStyle w:val="ListBullet"/>
      </w:pPr>
      <w:r>
        <w:t>Expressions may vary, but Atlas must remain approachable and trustworthy.</w:t>
      </w:r>
    </w:p>
    <w:p>
      <w:pPr>
        <w:pStyle w:val="ListBullet"/>
      </w:pPr>
      <w:r>
        <w:t>No unauthorized costume redesigns or body modifications are permitted.</w:t>
      </w:r>
    </w:p>
    <w:p>
      <w:pPr>
        <w:pStyle w:val="Heading1"/>
      </w:pPr>
      <w:r>
        <w:t>Manufacturing Requirements</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Production Requirement</w:t>
            </w:r>
          </w:p>
        </w:tc>
      </w:tr>
      <w:tr>
        <w:tc>
          <w:tcPr>
            <w:tcW w:type="dxa" w:w="4320"/>
          </w:tcPr>
          <w:p>
            <w:r>
              <w:t>Sculpt</w:t>
            </w:r>
          </w:p>
        </w:tc>
        <w:tc>
          <w:tcPr>
            <w:tcW w:type="dxa" w:w="4320"/>
          </w:tcPr>
          <w:p>
            <w:r>
              <w:t>Preserve canonical proportions and silhouette.</w:t>
            </w:r>
          </w:p>
        </w:tc>
      </w:tr>
      <w:tr>
        <w:tc>
          <w:tcPr>
            <w:tcW w:type="dxa" w:w="4320"/>
          </w:tcPr>
          <w:p>
            <w:r>
              <w:t>Paint</w:t>
            </w:r>
          </w:p>
        </w:tc>
        <w:tc>
          <w:tcPr>
            <w:tcW w:type="dxa" w:w="4320"/>
          </w:tcPr>
          <w:p>
            <w:r>
              <w:t>Match approved color references and placement.</w:t>
            </w:r>
          </w:p>
        </w:tc>
      </w:tr>
      <w:tr>
        <w:tc>
          <w:tcPr>
            <w:tcW w:type="dxa" w:w="4320"/>
          </w:tcPr>
          <w:p>
            <w:r>
              <w:t>Materials</w:t>
            </w:r>
          </w:p>
        </w:tc>
        <w:tc>
          <w:tcPr>
            <w:tcW w:type="dxa" w:w="4320"/>
          </w:tcPr>
          <w:p>
            <w:r>
              <w:t>Use finishes consistent with Atlas's premium appearance.</w:t>
            </w:r>
          </w:p>
        </w:tc>
      </w:tr>
      <w:tr>
        <w:tc>
          <w:tcPr>
            <w:tcW w:type="dxa" w:w="4320"/>
          </w:tcPr>
          <w:p>
            <w:r>
              <w:t>Quality Control</w:t>
            </w:r>
          </w:p>
        </w:tc>
        <w:tc>
          <w:tcPr>
            <w:tcW w:type="dxa" w:w="4320"/>
          </w:tcPr>
          <w:p>
            <w:r>
              <w:t>Inspect badge placement, visor geometry, and facial accuracy.</w:t>
            </w:r>
          </w:p>
        </w:tc>
      </w:tr>
      <w:tr>
        <w:tc>
          <w:tcPr>
            <w:tcW w:type="dxa" w:w="4320"/>
          </w:tcPr>
          <w:p>
            <w:r>
              <w:t>Packaging</w:t>
            </w:r>
          </w:p>
        </w:tc>
        <w:tc>
          <w:tcPr>
            <w:tcW w:type="dxa" w:w="4320"/>
          </w:tcPr>
          <w:p>
            <w:r>
              <w:t>Use approved Collectiverse branding and legal notices.</w:t>
            </w:r>
          </w:p>
        </w:tc>
      </w:tr>
      <w:tr>
        <w:tc>
          <w:tcPr>
            <w:tcW w:type="dxa" w:w="4320"/>
          </w:tcPr>
          <w:p>
            <w:r>
              <w:t>Documentation</w:t>
            </w:r>
          </w:p>
        </w:tc>
        <w:tc>
          <w:tcPr>
            <w:tcW w:type="dxa" w:w="4320"/>
          </w:tcPr>
          <w:p>
            <w:r>
              <w:t>Maintain version-controlled production approvals.</w:t>
            </w:r>
          </w:p>
        </w:tc>
      </w:tr>
    </w:tbl>
    <w:p>
      <w:pPr>
        <w:pStyle w:val="Heading1"/>
      </w:pPr>
      <w:r>
        <w:t>Brand Protection Rules</w:t>
      </w:r>
    </w:p>
    <w:p>
      <w:pPr>
        <w:pStyle w:val="ListBullet"/>
      </w:pPr>
      <w:r>
        <w:t>Atlas may not endorse counterfeit collectibles.</w:t>
      </w:r>
    </w:p>
    <w:p>
      <w:pPr>
        <w:pStyle w:val="ListBullet"/>
      </w:pPr>
      <w:r>
        <w:t>Atlas may not be depicted engaging in unethical collecting practices.</w:t>
      </w:r>
    </w:p>
    <w:p>
      <w:pPr>
        <w:pStyle w:val="ListBullet"/>
      </w:pPr>
      <w:r>
        <w:t>Humorous portrayals must not damage the character's integrity.</w:t>
      </w:r>
    </w:p>
    <w:p>
      <w:pPr>
        <w:pStyle w:val="ListBullet"/>
      </w:pPr>
      <w:r>
        <w:t>Brand partners must not alter Atlas's core identity without written approval.</w:t>
      </w:r>
    </w:p>
    <w:p>
      <w:pPr>
        <w:pStyle w:val="ListBullet"/>
      </w:pPr>
      <w:r>
        <w:t>Derivative works must clearly distinguish official canon from non-canon interpretations.</w:t>
      </w:r>
    </w:p>
    <w:p>
      <w:pPr>
        <w:pStyle w:val="Heading1"/>
      </w:pPr>
      <w:r>
        <w:t>Licensing Approval Workflow</w:t>
      </w:r>
    </w:p>
    <w:p>
      <w:r>
        <w:t>Every licensed product should progress through concept approval, design review, prototype evaluation, production approval, manufacturing quality assurance, and final brand compliance verification before public release.</w:t>
      </w:r>
    </w:p>
    <w:p>
      <w:pPr>
        <w:pStyle w:val="Heading1"/>
      </w:pPr>
      <w:r>
        <w:t>Canon Lock</w:t>
      </w:r>
    </w:p>
    <w:p>
      <w:r>
        <w:t>These standards apply to every commercial and promotional use of Atlas. Any intentional departure from the approved visual identity, personality, or narrative role requires formal approval by Collectiverse Studio franchise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