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ECHO Character Master Specification</w:t>
        <w:br/>
      </w:r>
      <w:r>
        <w:t>Part 05: Personality, Psychology &amp; Team Dynamics</w:t>
      </w:r>
    </w:p>
    <w:p>
      <w:pPr>
        <w:pStyle w:val="Heading1"/>
      </w:pPr>
      <w:r>
        <w:t>Purpose</w:t>
      </w:r>
    </w:p>
    <w:p>
      <w:r>
        <w:t>This document defines ECHO's canonical personality, psychological profile, motivations, communication style, and relationships with the other Keepers. These standards ensure consistent characterization across all official Collectiverse media.</w:t>
      </w:r>
    </w:p>
    <w:p>
      <w:pPr>
        <w:pStyle w:val="Heading1"/>
      </w:pPr>
      <w:r>
        <w:t>Core Character Statement</w:t>
      </w:r>
    </w:p>
    <w:p>
      <w:r>
        <w:t>ECHO believes that knowledge only fulfills its purpose when it is shared. She preserves the stories behind collectibles so future generations understand not only what an object is, but why it matters.</w:t>
      </w:r>
    </w:p>
    <w:p>
      <w:pPr>
        <w:pStyle w:val="Heading1"/>
      </w:pPr>
      <w:r>
        <w:t>Core Values</w:t>
      </w:r>
    </w:p>
    <w:p>
      <w:pPr>
        <w:pStyle w:val="ListBullet"/>
      </w:pPr>
      <w:r>
        <w:t>Wisdom grows when shared.</w:t>
      </w:r>
    </w:p>
    <w:p>
      <w:pPr>
        <w:pStyle w:val="ListBullet"/>
      </w:pPr>
      <w:r>
        <w:t>History deserves accuracy and context.</w:t>
      </w:r>
    </w:p>
    <w:p>
      <w:pPr>
        <w:pStyle w:val="ListBullet"/>
      </w:pPr>
      <w:r>
        <w:t>Patience leads to understanding.</w:t>
      </w:r>
    </w:p>
    <w:p>
      <w:pPr>
        <w:pStyle w:val="ListBullet"/>
      </w:pPr>
      <w:r>
        <w:t>Every voice has something worth hearing.</w:t>
      </w:r>
    </w:p>
    <w:p>
      <w:pPr>
        <w:pStyle w:val="ListBullet"/>
      </w:pPr>
      <w:r>
        <w:t>Knowledge should unite communities, not divide them.</w:t>
      </w:r>
    </w:p>
    <w:p>
      <w:pPr>
        <w:pStyle w:val="Heading1"/>
      </w:pPr>
      <w:r>
        <w:t>Psychological Profile</w:t>
      </w:r>
    </w:p>
    <w:p>
      <w:r>
        <w:t>ECHO is calm, reflective, and deeply curious. She observes before speaking, values careful analysis over quick conclusions, and naturally encourages others to think critically. Her confidence comes from understanding rather than certainty.</w:t>
      </w:r>
    </w:p>
    <w:p>
      <w:pPr>
        <w:pStyle w:val="Heading1"/>
      </w:pPr>
      <w:r>
        <w:t>Communication Style</w:t>
      </w:r>
    </w:p>
    <w:p>
      <w:pPr>
        <w:pStyle w:val="ListBullet"/>
      </w:pPr>
      <w:r>
        <w:t>Listens attentively before responding.</w:t>
      </w:r>
    </w:p>
    <w:p>
      <w:pPr>
        <w:pStyle w:val="ListBullet"/>
      </w:pPr>
      <w:r>
        <w:t>Explains complex ideas in clear, approachable language.</w:t>
      </w:r>
    </w:p>
    <w:p>
      <w:pPr>
        <w:pStyle w:val="ListBullet"/>
      </w:pPr>
      <w:r>
        <w:t>Uses stories and historical examples to teach.</w:t>
      </w:r>
    </w:p>
    <w:p>
      <w:pPr>
        <w:pStyle w:val="ListBullet"/>
      </w:pPr>
      <w:r>
        <w:t>Encourages collaboration and respectful discussion.</w:t>
      </w:r>
    </w:p>
    <w:p>
      <w:pPr>
        <w:pStyle w:val="Heading1"/>
      </w:pPr>
      <w:r>
        <w:t>Team Relationships</w:t>
      </w:r>
    </w:p>
    <w:tbl>
      <w:tblPr>
        <w:tblStyle w:val="TableGrid"/>
        <w:tblW w:type="auto" w:w="0"/>
        <w:tblLook w:firstColumn="1" w:firstRow="1" w:lastColumn="0" w:lastRow="0" w:noHBand="0" w:noVBand="1" w:val="04A0"/>
      </w:tblPr>
      <w:tblGrid>
        <w:gridCol w:w="4320"/>
        <w:gridCol w:w="4320"/>
      </w:tblGrid>
      <w:tr>
        <w:tc>
          <w:tcPr>
            <w:tcW w:type="dxa" w:w="4320"/>
          </w:tcPr>
          <w:p>
            <w:r>
              <w:t>Keeper</w:t>
            </w:r>
          </w:p>
        </w:tc>
        <w:tc>
          <w:tcPr>
            <w:tcW w:type="dxa" w:w="4320"/>
          </w:tcPr>
          <w:p>
            <w:r>
              <w:t>Relationship</w:t>
            </w:r>
          </w:p>
        </w:tc>
      </w:tr>
      <w:tr>
        <w:tc>
          <w:tcPr>
            <w:tcW w:type="dxa" w:w="4320"/>
          </w:tcPr>
          <w:p>
            <w:r>
              <w:t>Atlas</w:t>
            </w:r>
          </w:p>
        </w:tc>
        <w:tc>
          <w:tcPr>
            <w:tcW w:type="dxa" w:w="4320"/>
          </w:tcPr>
          <w:p>
            <w:r>
              <w:t>Serves as Atlas' historical advisor and trusted source of context.</w:t>
            </w:r>
          </w:p>
        </w:tc>
      </w:tr>
      <w:tr>
        <w:tc>
          <w:tcPr>
            <w:tcW w:type="dxa" w:w="4320"/>
          </w:tcPr>
          <w:p>
            <w:r>
              <w:t>Pixel</w:t>
            </w:r>
          </w:p>
        </w:tc>
        <w:tc>
          <w:tcPr>
            <w:tcW w:type="dxa" w:w="4320"/>
          </w:tcPr>
          <w:p>
            <w:r>
              <w:t>Helps Pixel interpret discoveries and connect clues to historical records.</w:t>
            </w:r>
          </w:p>
        </w:tc>
      </w:tr>
      <w:tr>
        <w:tc>
          <w:tcPr>
            <w:tcW w:type="dxa" w:w="4320"/>
          </w:tcPr>
          <w:p>
            <w:r>
              <w:t>Ink</w:t>
            </w:r>
          </w:p>
        </w:tc>
        <w:tc>
          <w:tcPr>
            <w:tcW w:type="dxa" w:w="4320"/>
          </w:tcPr>
          <w:p>
            <w:r>
              <w:t>Works closely with Ink to preserve stories and documented history.</w:t>
            </w:r>
          </w:p>
        </w:tc>
      </w:tr>
      <w:tr>
        <w:tc>
          <w:tcPr>
            <w:tcW w:type="dxa" w:w="4320"/>
          </w:tcPr>
          <w:p>
            <w:r>
              <w:t>Sterling</w:t>
            </w:r>
          </w:p>
        </w:tc>
        <w:tc>
          <w:tcPr>
            <w:tcW w:type="dxa" w:w="4320"/>
          </w:tcPr>
          <w:p>
            <w:r>
              <w:t>Provides provenance research that supports Sterling's authentication work.</w:t>
            </w:r>
          </w:p>
        </w:tc>
      </w:tr>
      <w:tr>
        <w:tc>
          <w:tcPr>
            <w:tcW w:type="dxa" w:w="4320"/>
          </w:tcPr>
          <w:p>
            <w:r>
              <w:t>Forge</w:t>
            </w:r>
          </w:p>
        </w:tc>
        <w:tc>
          <w:tcPr>
            <w:tcW w:type="dxa" w:w="4320"/>
          </w:tcPr>
          <w:p>
            <w:r>
              <w:t>Documents Forge's restoration projects and preserves their historical significance.</w:t>
            </w:r>
          </w:p>
        </w:tc>
      </w:tr>
      <w:tr>
        <w:tc>
          <w:tcPr>
            <w:tcW w:type="dxa" w:w="4320"/>
          </w:tcPr>
          <w:p>
            <w:r>
              <w:t>Porter</w:t>
            </w:r>
          </w:p>
        </w:tc>
        <w:tc>
          <w:tcPr>
            <w:tcW w:type="dxa" w:w="4320"/>
          </w:tcPr>
          <w:p>
            <w:r>
              <w:t>Coordinates information that helps Porter protect important people and collections.</w:t>
            </w:r>
          </w:p>
        </w:tc>
      </w:tr>
    </w:tbl>
    <w:p>
      <w:pPr>
        <w:pStyle w:val="Heading1"/>
      </w:pPr>
      <w:r>
        <w:t>Strengths</w:t>
      </w:r>
    </w:p>
    <w:p>
      <w:pPr>
        <w:pStyle w:val="ListBullet"/>
      </w:pPr>
      <w:r>
        <w:t>Exceptional memory and historical knowledge.</w:t>
      </w:r>
    </w:p>
    <w:p>
      <w:pPr>
        <w:pStyle w:val="ListBullet"/>
      </w:pPr>
      <w:r>
        <w:t>Outstanding listener and communicator.</w:t>
      </w:r>
    </w:p>
    <w:p>
      <w:pPr>
        <w:pStyle w:val="ListBullet"/>
      </w:pPr>
      <w:r>
        <w:t>Thoughtful decision-making under pressure.</w:t>
      </w:r>
    </w:p>
    <w:p>
      <w:pPr>
        <w:pStyle w:val="ListBullet"/>
      </w:pPr>
      <w:r>
        <w:t>Builds trust through patience and empathy.</w:t>
      </w:r>
    </w:p>
    <w:p>
      <w:pPr>
        <w:pStyle w:val="Heading1"/>
      </w:pPr>
      <w:r>
        <w:t>Growth Areas</w:t>
      </w:r>
    </w:p>
    <w:p>
      <w:pPr>
        <w:pStyle w:val="ListBullet"/>
      </w:pPr>
      <w:r>
        <w:t>May spend too long gathering information before acting.</w:t>
      </w:r>
    </w:p>
    <w:p>
      <w:pPr>
        <w:pStyle w:val="ListBullet"/>
      </w:pPr>
      <w:r>
        <w:t>Sometimes carries the emotional weight of preserving difficult histories.</w:t>
      </w:r>
    </w:p>
    <w:p>
      <w:pPr>
        <w:pStyle w:val="ListBullet"/>
      </w:pPr>
      <w:r>
        <w:t>Can become absorbed in research when immediate action is required.</w:t>
      </w:r>
    </w:p>
    <w:p>
      <w:pPr>
        <w:pStyle w:val="Heading1"/>
      </w:pPr>
      <w:r>
        <w:t>Canon Lock</w:t>
      </w:r>
    </w:p>
    <w:p>
      <w:r>
        <w:t>These personality, psychology, communication, and relationship standards are canonical and apply to every official portrayal of ECHO.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