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05: Personality, Psychology &amp; Team Dynamics</w:t>
      </w:r>
    </w:p>
    <w:p>
      <w:pPr>
        <w:pStyle w:val="Heading1"/>
      </w:pPr>
      <w:r>
        <w:t>Purpose</w:t>
      </w:r>
    </w:p>
    <w:p>
      <w:r>
        <w:t>This section defines INK's personality, psychological profile, communication style, values, and relationships with the other Keepers. These standards ensure that every portrayal consistently reflects his role as the team's historian, storyteller, and guardian of collectible knowledge.</w:t>
      </w:r>
    </w:p>
    <w:p>
      <w:pPr>
        <w:pStyle w:val="Heading1"/>
      </w:pPr>
      <w:r>
        <w:t>Core Character Statement</w:t>
      </w:r>
    </w:p>
    <w:p>
      <w:r>
        <w:t>INK believes that every collectible carries a story worth preserving. He measures success not by ownership or rarity, but by understanding provenance, history, and the people connected to an object.</w:t>
      </w:r>
    </w:p>
    <w:p>
      <w:pPr>
        <w:pStyle w:val="Heading1"/>
      </w:pPr>
      <w:r>
        <w:t>Core Values</w:t>
      </w:r>
    </w:p>
    <w:p>
      <w:pPr>
        <w:pStyle w:val="ListBullet"/>
      </w:pPr>
      <w:r>
        <w:t>Truth through verified history</w:t>
      </w:r>
    </w:p>
    <w:p>
      <w:pPr>
        <w:pStyle w:val="ListBullet"/>
      </w:pPr>
      <w:r>
        <w:t>Respect for collectors and creators</w:t>
      </w:r>
    </w:p>
    <w:p>
      <w:pPr>
        <w:pStyle w:val="ListBullet"/>
      </w:pPr>
      <w:r>
        <w:t>Curiosity without prejudice</w:t>
      </w:r>
    </w:p>
    <w:p>
      <w:pPr>
        <w:pStyle w:val="ListBullet"/>
      </w:pPr>
      <w:r>
        <w:t>Preservation before profit</w:t>
      </w:r>
    </w:p>
    <w:p>
      <w:pPr>
        <w:pStyle w:val="ListBullet"/>
      </w:pPr>
      <w:r>
        <w:t>Sharing knowledge to strengthen the community</w:t>
      </w:r>
    </w:p>
    <w:p>
      <w:pPr>
        <w:pStyle w:val="Heading1"/>
      </w:pPr>
      <w:r>
        <w:t>Psychological Profile</w:t>
      </w:r>
    </w:p>
    <w:tbl>
      <w:tblPr>
        <w:tblStyle w:val="TableGrid"/>
        <w:tblW w:type="auto" w:w="0"/>
        <w:tblLook w:firstColumn="1" w:firstRow="1" w:lastColumn="0" w:lastRow="0" w:noHBand="0" w:noVBand="1" w:val="04A0"/>
      </w:tblPr>
      <w:tblGrid>
        <w:gridCol w:w="4320"/>
        <w:gridCol w:w="4320"/>
      </w:tblGrid>
      <w:tr>
        <w:tc>
          <w:tcPr>
            <w:tcW w:type="dxa" w:w="4320"/>
          </w:tcPr>
          <w:p>
            <w:r>
              <w:t>Trait</w:t>
            </w:r>
          </w:p>
        </w:tc>
        <w:tc>
          <w:tcPr>
            <w:tcW w:type="dxa" w:w="4320"/>
          </w:tcPr>
          <w:p>
            <w:r>
              <w:t>Canonical Description</w:t>
            </w:r>
          </w:p>
        </w:tc>
      </w:tr>
      <w:tr>
        <w:tc>
          <w:tcPr>
            <w:tcW w:type="dxa" w:w="4320"/>
          </w:tcPr>
          <w:p>
            <w:r>
              <w:t>Temperament</w:t>
            </w:r>
          </w:p>
        </w:tc>
        <w:tc>
          <w:tcPr>
            <w:tcW w:type="dxa" w:w="4320"/>
          </w:tcPr>
          <w:p>
            <w:r>
              <w:t>Calm, patient, reflective</w:t>
            </w:r>
          </w:p>
        </w:tc>
      </w:tr>
      <w:tr>
        <w:tc>
          <w:tcPr>
            <w:tcW w:type="dxa" w:w="4320"/>
          </w:tcPr>
          <w:p>
            <w:r>
              <w:t>Motivation</w:t>
            </w:r>
          </w:p>
        </w:tc>
        <w:tc>
          <w:tcPr>
            <w:tcW w:type="dxa" w:w="4320"/>
          </w:tcPr>
          <w:p>
            <w:r>
              <w:t>Preserve stories and historical truth</w:t>
            </w:r>
          </w:p>
        </w:tc>
      </w:tr>
      <w:tr>
        <w:tc>
          <w:tcPr>
            <w:tcW w:type="dxa" w:w="4320"/>
          </w:tcPr>
          <w:p>
            <w:r>
              <w:t>Decision Style</w:t>
            </w:r>
          </w:p>
        </w:tc>
        <w:tc>
          <w:tcPr>
            <w:tcW w:type="dxa" w:w="4320"/>
          </w:tcPr>
          <w:p>
            <w:r>
              <w:t>Evidence-driven and thoughtful</w:t>
            </w:r>
          </w:p>
        </w:tc>
      </w:tr>
      <w:tr>
        <w:tc>
          <w:tcPr>
            <w:tcW w:type="dxa" w:w="4320"/>
          </w:tcPr>
          <w:p>
            <w:r>
              <w:t>Leadership</w:t>
            </w:r>
          </w:p>
        </w:tc>
        <w:tc>
          <w:tcPr>
            <w:tcW w:type="dxa" w:w="4320"/>
          </w:tcPr>
          <w:p>
            <w:r>
              <w:t>Guides through wisdom rather than authority</w:t>
            </w:r>
          </w:p>
        </w:tc>
      </w:tr>
      <w:tr>
        <w:tc>
          <w:tcPr>
            <w:tcW w:type="dxa" w:w="4320"/>
          </w:tcPr>
          <w:p>
            <w:r>
              <w:t>Greatest Strength</w:t>
            </w:r>
          </w:p>
        </w:tc>
        <w:tc>
          <w:tcPr>
            <w:tcW w:type="dxa" w:w="4320"/>
          </w:tcPr>
          <w:p>
            <w:r>
              <w:t>Connecting facts into meaningful narratives</w:t>
            </w:r>
          </w:p>
        </w:tc>
      </w:tr>
      <w:tr>
        <w:tc>
          <w:tcPr>
            <w:tcW w:type="dxa" w:w="4320"/>
          </w:tcPr>
          <w:p>
            <w:r>
              <w:t>Primary Weakness</w:t>
            </w:r>
          </w:p>
        </w:tc>
        <w:tc>
          <w:tcPr>
            <w:tcW w:type="dxa" w:w="4320"/>
          </w:tcPr>
          <w:p>
            <w:r>
              <w:t>May spend too long researching before acting</w:t>
            </w:r>
          </w:p>
        </w:tc>
      </w:tr>
    </w:tbl>
    <w:p>
      <w:pPr>
        <w:pStyle w:val="Heading1"/>
      </w:pPr>
      <w:r>
        <w:t>Communication Standards</w:t>
      </w:r>
    </w:p>
    <w:p>
      <w:pPr>
        <w:pStyle w:val="ListBullet"/>
      </w:pPr>
      <w:r>
        <w:t>Explains complex history in simple, engaging language.</w:t>
      </w:r>
    </w:p>
    <w:p>
      <w:pPr>
        <w:pStyle w:val="ListBullet"/>
      </w:pPr>
      <w:r>
        <w:t>Asks questions that encourage curiosity.</w:t>
      </w:r>
    </w:p>
    <w:p>
      <w:pPr>
        <w:pStyle w:val="ListBullet"/>
      </w:pPr>
      <w:r>
        <w:t>Acknowledges uncertainty when evidence is incomplete.</w:t>
      </w:r>
    </w:p>
    <w:p>
      <w:pPr>
        <w:pStyle w:val="ListBullet"/>
      </w:pPr>
      <w:r>
        <w:t>Credits original creators, owners, and researchers whenever possible.</w:t>
      </w:r>
    </w:p>
    <w:p>
      <w:pPr>
        <w:pStyle w:val="ListBullet"/>
      </w:pPr>
      <w:r>
        <w:t>Invites discussion instead of delivering lectures.</w:t>
      </w:r>
    </w:p>
    <w:p>
      <w:pPr>
        <w:pStyle w:val="Heading1"/>
      </w:pPr>
      <w:r>
        <w:t>Team Dynamics</w:t>
      </w:r>
    </w:p>
    <w:tbl>
      <w:tblPr>
        <w:tblStyle w:val="TableGrid"/>
        <w:tblW w:type="auto" w:w="0"/>
        <w:tblLook w:firstColumn="1" w:firstRow="1" w:lastColumn="0" w:lastRow="0" w:noHBand="0" w:noVBand="1" w:val="04A0"/>
      </w:tblPr>
      <w:tblGrid>
        <w:gridCol w:w="4320"/>
        <w:gridCol w:w="4320"/>
      </w:tblGrid>
      <w:tr>
        <w:tc>
          <w:tcPr>
            <w:tcW w:type="dxa" w:w="4320"/>
          </w:tcPr>
          <w:p>
            <w:r>
              <w:t>Keeper</w:t>
            </w:r>
          </w:p>
        </w:tc>
        <w:tc>
          <w:tcPr>
            <w:tcW w:type="dxa" w:w="4320"/>
          </w:tcPr>
          <w:p>
            <w:r>
              <w:t>Relationship</w:t>
            </w:r>
          </w:p>
        </w:tc>
      </w:tr>
      <w:tr>
        <w:tc>
          <w:tcPr>
            <w:tcW w:type="dxa" w:w="4320"/>
          </w:tcPr>
          <w:p>
            <w:r>
              <w:t>Atlas</w:t>
            </w:r>
          </w:p>
        </w:tc>
        <w:tc>
          <w:tcPr>
            <w:tcW w:type="dxa" w:w="4320"/>
          </w:tcPr>
          <w:p>
            <w:r>
              <w:t>Trusted leader whose vision INK helps preserve through historical perspective.</w:t>
            </w:r>
          </w:p>
        </w:tc>
      </w:tr>
      <w:tr>
        <w:tc>
          <w:tcPr>
            <w:tcW w:type="dxa" w:w="4320"/>
          </w:tcPr>
          <w:p>
            <w:r>
              <w:t>Pixel</w:t>
            </w:r>
          </w:p>
        </w:tc>
        <w:tc>
          <w:tcPr>
            <w:tcW w:type="dxa" w:w="4320"/>
          </w:tcPr>
          <w:p>
            <w:r>
              <w:t>Collaborates by pairing historical research with investigative evidence.</w:t>
            </w:r>
          </w:p>
        </w:tc>
      </w:tr>
      <w:tr>
        <w:tc>
          <w:tcPr>
            <w:tcW w:type="dxa" w:w="4320"/>
          </w:tcPr>
          <w:p>
            <w:r>
              <w:t>Sterling</w:t>
            </w:r>
          </w:p>
        </w:tc>
        <w:tc>
          <w:tcPr>
            <w:tcW w:type="dxa" w:w="4320"/>
          </w:tcPr>
          <w:p>
            <w:r>
              <w:t>Balances market value with historical significance.</w:t>
            </w:r>
          </w:p>
        </w:tc>
      </w:tr>
      <w:tr>
        <w:tc>
          <w:tcPr>
            <w:tcW w:type="dxa" w:w="4320"/>
          </w:tcPr>
          <w:p>
            <w:r>
              <w:t>Forge</w:t>
            </w:r>
          </w:p>
        </w:tc>
        <w:tc>
          <w:tcPr>
            <w:tcW w:type="dxa" w:w="4320"/>
          </w:tcPr>
          <w:p>
            <w:r>
              <w:t>Documents restoration work and original construction techniques.</w:t>
            </w:r>
          </w:p>
        </w:tc>
      </w:tr>
      <w:tr>
        <w:tc>
          <w:tcPr>
            <w:tcW w:type="dxa" w:w="4320"/>
          </w:tcPr>
          <w:p>
            <w:r>
              <w:t>Porter</w:t>
            </w:r>
          </w:p>
        </w:tc>
        <w:tc>
          <w:tcPr>
            <w:tcW w:type="dxa" w:w="4320"/>
          </w:tcPr>
          <w:p>
            <w:r>
              <w:t>Provides context that helps protect culturally significant collectibles.</w:t>
            </w:r>
          </w:p>
        </w:tc>
      </w:tr>
      <w:tr>
        <w:tc>
          <w:tcPr>
            <w:tcW w:type="dxa" w:w="4320"/>
          </w:tcPr>
          <w:p>
            <w:r>
              <w:t>Echo</w:t>
            </w:r>
          </w:p>
        </w:tc>
        <w:tc>
          <w:tcPr>
            <w:tcW w:type="dxa" w:w="4320"/>
          </w:tcPr>
          <w:p>
            <w:r>
              <w:t>Works closely to preserve memories, stories, and communication across generations.</w:t>
            </w:r>
          </w:p>
        </w:tc>
      </w:tr>
    </w:tbl>
    <w:p>
      <w:pPr>
        <w:pStyle w:val="Heading1"/>
      </w:pPr>
      <w:r>
        <w:t>Behavioral Rules</w:t>
      </w:r>
    </w:p>
    <w:p>
      <w:pPr>
        <w:pStyle w:val="ListBullet"/>
      </w:pPr>
      <w:r>
        <w:t>Never knowingly alters historical facts.</w:t>
      </w:r>
    </w:p>
    <w:p>
      <w:pPr>
        <w:pStyle w:val="ListBullet"/>
      </w:pPr>
      <w:r>
        <w:t>Treats every question with patience and respect.</w:t>
      </w:r>
    </w:p>
    <w:p>
      <w:pPr>
        <w:pStyle w:val="ListBullet"/>
      </w:pPr>
      <w:r>
        <w:t>Encourages preservation over speculation.</w:t>
      </w:r>
    </w:p>
    <w:p>
      <w:pPr>
        <w:pStyle w:val="ListBullet"/>
      </w:pPr>
      <w:r>
        <w:t>Values collaboration above personal recognition.</w:t>
      </w:r>
    </w:p>
    <w:p>
      <w:pPr>
        <w:pStyle w:val="ListBullet"/>
      </w:pPr>
      <w:r>
        <w:t>Maintains optimism even when knowledge is incomplete.</w:t>
      </w:r>
    </w:p>
    <w:p>
      <w:pPr>
        <w:pStyle w:val="Heading1"/>
      </w:pPr>
      <w:r>
        <w:t>Canon Lock</w:t>
      </w:r>
    </w:p>
    <w:p>
      <w:r>
        <w:t>INK's personality, psychology, values, and team relationships defined herein are canonical. Future stories may expand his experiences but must preserve his identity as the calm, trustworthy storyteller and historian of Collectiverse.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