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06: Relationships, Story Role &amp; Narrative Standards</w:t>
      </w:r>
    </w:p>
    <w:p>
      <w:pPr>
        <w:pStyle w:val="Heading1"/>
      </w:pPr>
      <w:r>
        <w:t>Purpose</w:t>
      </w:r>
    </w:p>
    <w:p>
      <w:r>
        <w:t>This section defines INK's narrative responsibilities, relationships with allies and adversaries, story function, dialogue boundaries, and franchise storytelling standards. These rules ensure that INK consistently fulfills his role as the guardian of history and provenance throughout the Collectiverse universe.</w:t>
      </w:r>
    </w:p>
    <w:p>
      <w:pPr>
        <w:pStyle w:val="Heading1"/>
      </w:pPr>
      <w:r>
        <w:t>Primary Narrative Role</w:t>
      </w:r>
    </w:p>
    <w:p>
      <w:r>
        <w:t>INK serves as the franchise historian and storyteller. He provides historical context, uncovers provenance, explains why collectibles matter, and reminds both the Keepers and the audience that every authentic collectible represents a larger human story.</w:t>
      </w:r>
    </w:p>
    <w:p>
      <w:pPr>
        <w:pStyle w:val="Heading1"/>
      </w:pPr>
      <w:r>
        <w:t>Relationships with the Keepers</w:t>
      </w:r>
    </w:p>
    <w:tbl>
      <w:tblPr>
        <w:tblStyle w:val="TableGrid"/>
        <w:tblW w:type="auto" w:w="0"/>
        <w:tblLook w:firstColumn="1" w:firstRow="1" w:lastColumn="0" w:lastRow="0" w:noHBand="0" w:noVBand="1" w:val="04A0"/>
      </w:tblPr>
      <w:tblGrid>
        <w:gridCol w:w="4320"/>
        <w:gridCol w:w="4320"/>
      </w:tblGrid>
      <w:tr>
        <w:tc>
          <w:tcPr>
            <w:tcW w:type="dxa" w:w="4320"/>
          </w:tcPr>
          <w:p>
            <w:r>
              <w:t>Character</w:t>
            </w:r>
          </w:p>
        </w:tc>
        <w:tc>
          <w:tcPr>
            <w:tcW w:type="dxa" w:w="4320"/>
          </w:tcPr>
          <w:p>
            <w:r>
              <w:t>Narrative Relationship</w:t>
            </w:r>
          </w:p>
        </w:tc>
      </w:tr>
      <w:tr>
        <w:tc>
          <w:tcPr>
            <w:tcW w:type="dxa" w:w="4320"/>
          </w:tcPr>
          <w:p>
            <w:r>
              <w:t>Atlas</w:t>
            </w:r>
          </w:p>
        </w:tc>
        <w:tc>
          <w:tcPr>
            <w:tcW w:type="dxa" w:w="4320"/>
          </w:tcPr>
          <w:p>
            <w:r>
              <w:t>Provides historical perspective that supports Atlas's leadership decisions.</w:t>
            </w:r>
          </w:p>
        </w:tc>
      </w:tr>
      <w:tr>
        <w:tc>
          <w:tcPr>
            <w:tcW w:type="dxa" w:w="4320"/>
          </w:tcPr>
          <w:p>
            <w:r>
              <w:t>Pixel</w:t>
            </w:r>
          </w:p>
        </w:tc>
        <w:tc>
          <w:tcPr>
            <w:tcW w:type="dxa" w:w="4320"/>
          </w:tcPr>
          <w:p>
            <w:r>
              <w:t>Combines research with evidence gathered during investigations.</w:t>
            </w:r>
          </w:p>
        </w:tc>
      </w:tr>
      <w:tr>
        <w:tc>
          <w:tcPr>
            <w:tcW w:type="dxa" w:w="4320"/>
          </w:tcPr>
          <w:p>
            <w:r>
              <w:t>Sterling</w:t>
            </w:r>
          </w:p>
        </w:tc>
        <w:tc>
          <w:tcPr>
            <w:tcW w:type="dxa" w:w="4320"/>
          </w:tcPr>
          <w:p>
            <w:r>
              <w:t>Balances financial value with historical significance.</w:t>
            </w:r>
          </w:p>
        </w:tc>
      </w:tr>
      <w:tr>
        <w:tc>
          <w:tcPr>
            <w:tcW w:type="dxa" w:w="4320"/>
          </w:tcPr>
          <w:p>
            <w:r>
              <w:t>Forge</w:t>
            </w:r>
          </w:p>
        </w:tc>
        <w:tc>
          <w:tcPr>
            <w:tcW w:type="dxa" w:w="4320"/>
          </w:tcPr>
          <w:p>
            <w:r>
              <w:t>Documents restoration history and preserves original craftsmanship.</w:t>
            </w:r>
          </w:p>
        </w:tc>
      </w:tr>
      <w:tr>
        <w:tc>
          <w:tcPr>
            <w:tcW w:type="dxa" w:w="4320"/>
          </w:tcPr>
          <w:p>
            <w:r>
              <w:t>Porter</w:t>
            </w:r>
          </w:p>
        </w:tc>
        <w:tc>
          <w:tcPr>
            <w:tcW w:type="dxa" w:w="4320"/>
          </w:tcPr>
          <w:p>
            <w:r>
              <w:t>Helps identify culturally important artifacts deserving protection.</w:t>
            </w:r>
          </w:p>
        </w:tc>
      </w:tr>
      <w:tr>
        <w:tc>
          <w:tcPr>
            <w:tcW w:type="dxa" w:w="4320"/>
          </w:tcPr>
          <w:p>
            <w:r>
              <w:t>Echo</w:t>
            </w:r>
          </w:p>
        </w:tc>
        <w:tc>
          <w:tcPr>
            <w:tcW w:type="dxa" w:w="4320"/>
          </w:tcPr>
          <w:p>
            <w:r>
              <w:t>Shares memories, oral histories, and recorded knowledge to preserve the past.</w:t>
            </w:r>
          </w:p>
        </w:tc>
      </w:tr>
    </w:tbl>
    <w:p>
      <w:pPr>
        <w:pStyle w:val="Heading1"/>
      </w:pPr>
      <w:r>
        <w:t>Relationships with The Syndicate</w:t>
      </w:r>
    </w:p>
    <w:p>
      <w:pPr>
        <w:pStyle w:val="ListBullet"/>
      </w:pPr>
      <w:r>
        <w:t>Challenges The Restorer by defending historical authenticity over unnecessary alteration.</w:t>
      </w:r>
    </w:p>
    <w:p>
      <w:pPr>
        <w:pStyle w:val="ListBullet"/>
      </w:pPr>
      <w:r>
        <w:t>Opposes The Counterfeiter by exposing fabricated histories and false provenance.</w:t>
      </w:r>
    </w:p>
    <w:p>
      <w:pPr>
        <w:pStyle w:val="ListBullet"/>
      </w:pPr>
      <w:r>
        <w:t>Works with Pixel to uncover evidence against The Hacker's digital manipulation.</w:t>
      </w:r>
    </w:p>
    <w:p>
      <w:pPr>
        <w:pStyle w:val="ListBullet"/>
      </w:pPr>
      <w:r>
        <w:t>Resists The Hoarder by making knowledge available to the collecting community.</w:t>
      </w:r>
    </w:p>
    <w:p>
      <w:pPr>
        <w:pStyle w:val="ListBullet"/>
      </w:pPr>
      <w:r>
        <w:t>Supports Atlas in opposing The Director's attempts to rewrite or control history.</w:t>
      </w:r>
    </w:p>
    <w:p>
      <w:pPr>
        <w:pStyle w:val="Heading1"/>
      </w:pPr>
      <w:r>
        <w:t>Storytelling Standards</w:t>
      </w:r>
    </w:p>
    <w:p>
      <w:pPr>
        <w:pStyle w:val="ListBullet"/>
      </w:pPr>
      <w:r>
        <w:t>History should enhance the adventure rather than interrupt it.</w:t>
      </w:r>
    </w:p>
    <w:p>
      <w:pPr>
        <w:pStyle w:val="ListBullet"/>
      </w:pPr>
      <w:r>
        <w:t>Facts must remain accessible to audiences of all ages.</w:t>
      </w:r>
    </w:p>
    <w:p>
      <w:pPr>
        <w:pStyle w:val="ListBullet"/>
      </w:pPr>
      <w:r>
        <w:t>Historical lessons should inspire curiosity instead of feeling like lectures.</w:t>
      </w:r>
    </w:p>
    <w:p>
      <w:pPr>
        <w:pStyle w:val="ListBullet"/>
      </w:pPr>
      <w:r>
        <w:t>Every major appearance should reinforce preservation, authenticity, or provenance.</w:t>
      </w:r>
    </w:p>
    <w:p>
      <w:pPr>
        <w:pStyle w:val="Heading1"/>
      </w:pPr>
      <w:r>
        <w:t>Dialogue Boundaries</w:t>
      </w:r>
    </w:p>
    <w:p>
      <w:r>
        <w:t>INK communicates with patience, humility, and respect. He avoids arrogance, fear-based storytelling, or unsupported claims. When evidence is incomplete, he clearly distinguishes verified facts from reasonable possibilities.</w:t>
      </w:r>
    </w:p>
    <w:p>
      <w:pPr>
        <w:pStyle w:val="Heading1"/>
      </w:pPr>
      <w:r>
        <w:t>Narrative Restrictions</w:t>
      </w:r>
    </w:p>
    <w:p>
      <w:pPr>
        <w:pStyle w:val="ListBullet"/>
      </w:pPr>
      <w:r>
        <w:t>Never intentionally rewrite established history.</w:t>
      </w:r>
    </w:p>
    <w:p>
      <w:pPr>
        <w:pStyle w:val="ListBullet"/>
      </w:pPr>
      <w:r>
        <w:t>Never glorify counterfeit or destructive collecting practices.</w:t>
      </w:r>
    </w:p>
    <w:p>
      <w:pPr>
        <w:pStyle w:val="ListBullet"/>
      </w:pPr>
      <w:r>
        <w:t>Never place personal recognition above preserving knowledge.</w:t>
      </w:r>
    </w:p>
    <w:p>
      <w:pPr>
        <w:pStyle w:val="ListBullet"/>
      </w:pPr>
      <w:r>
        <w:t>Remain a collaborative teacher rather than an all-knowing authority.</w:t>
      </w:r>
    </w:p>
    <w:p>
      <w:pPr>
        <w:pStyle w:val="Heading1"/>
      </w:pPr>
      <w:r>
        <w:t>Canon Lock</w:t>
      </w:r>
    </w:p>
    <w:p>
      <w:r>
        <w:t>These relationship, narrative, and storytelling standards are canonical. Future productions may expand INK's experiences, but his identity as Collectiverse's trusted historian and storyteller must remain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