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Collectiverse Studio Documentation Library</w:t>
      </w:r>
    </w:p>
    <w:p>
      <w:pPr>
        <w:jc w:val="center"/>
      </w:pPr>
      <w:r>
        <w:rPr>
          <w:b/>
        </w:rPr>
        <w:t>Volume 02 – Character Bible</w:t>
        <w:br/>
      </w:r>
      <w:r>
        <w:t>INK Character Master Specification</w:t>
        <w:br/>
      </w:r>
      <w:r>
        <w:t>Part 07: Equipment, Technology, Abilities &amp; Operational Standards</w:t>
      </w:r>
    </w:p>
    <w:p>
      <w:pPr>
        <w:pStyle w:val="Heading1"/>
      </w:pPr>
      <w:r>
        <w:t>Purpose</w:t>
      </w:r>
    </w:p>
    <w:p>
      <w:r>
        <w:t>This section defines INK's canonical equipment, research tools, abilities, operational workflow, and limitations. These standards apply across animation, publishing, games, collectibles, and every officially licensed production.</w:t>
      </w:r>
    </w:p>
    <w:p>
      <w:pPr>
        <w:pStyle w:val="Heading1"/>
      </w:pPr>
      <w:r>
        <w:t>Primary Equipment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Equipment</w:t>
            </w:r>
          </w:p>
        </w:tc>
        <w:tc>
          <w:tcPr>
            <w:tcW w:type="dxa" w:w="2880"/>
          </w:tcPr>
          <w:p>
            <w:r>
              <w:t>Primary Function</w:t>
            </w:r>
          </w:p>
        </w:tc>
        <w:tc>
          <w:tcPr>
            <w:tcW w:type="dxa" w:w="2880"/>
          </w:tcPr>
          <w:p>
            <w:r>
              <w:t>Canonical Standard</w:t>
            </w:r>
          </w:p>
        </w:tc>
      </w:tr>
      <w:tr>
        <w:tc>
          <w:tcPr>
            <w:tcW w:type="dxa" w:w="2880"/>
          </w:tcPr>
          <w:p>
            <w:r>
              <w:t>Story Quill</w:t>
            </w:r>
          </w:p>
        </w:tc>
        <w:tc>
          <w:tcPr>
            <w:tcW w:type="dxa" w:w="2880"/>
          </w:tcPr>
          <w:p>
            <w:r>
              <w:t>Record and illustrate history</w:t>
            </w:r>
          </w:p>
        </w:tc>
        <w:tc>
          <w:tcPr>
            <w:tcW w:type="dxa" w:w="2880"/>
          </w:tcPr>
          <w:p>
            <w:r>
              <w:t>Elegant ivory quill with dark feather; signature prop in most appearances.</w:t>
            </w:r>
          </w:p>
        </w:tc>
      </w:tr>
      <w:tr>
        <w:tc>
          <w:tcPr>
            <w:tcW w:type="dxa" w:w="2880"/>
          </w:tcPr>
          <w:p>
            <w:r>
              <w:t>Field Journal</w:t>
            </w:r>
          </w:p>
        </w:tc>
        <w:tc>
          <w:tcPr>
            <w:tcW w:type="dxa" w:w="2880"/>
          </w:tcPr>
          <w:p>
            <w:r>
              <w:t>Capture discoveries</w:t>
            </w:r>
          </w:p>
        </w:tc>
        <w:tc>
          <w:tcPr>
            <w:tcW w:type="dxa" w:w="2880"/>
          </w:tcPr>
          <w:p>
            <w:r>
              <w:t>Portable archive for notes, sketches, provenance, and observations.</w:t>
            </w:r>
          </w:p>
        </w:tc>
      </w:tr>
      <w:tr>
        <w:tc>
          <w:tcPr>
            <w:tcW w:type="dxa" w:w="2880"/>
          </w:tcPr>
          <w:p>
            <w:r>
              <w:t>Historical Scrolls</w:t>
            </w:r>
          </w:p>
        </w:tc>
        <w:tc>
          <w:tcPr>
            <w:tcW w:type="dxa" w:w="2880"/>
          </w:tcPr>
          <w:p>
            <w:r>
              <w:t>Reference authenticated records</w:t>
            </w:r>
          </w:p>
        </w:tc>
        <w:tc>
          <w:tcPr>
            <w:tcW w:type="dxa" w:w="2880"/>
          </w:tcPr>
          <w:p>
            <w:r>
              <w:t>Used to explain context and compare historical sources.</w:t>
            </w:r>
          </w:p>
        </w:tc>
      </w:tr>
      <w:tr>
        <w:tc>
          <w:tcPr>
            <w:tcW w:type="dxa" w:w="2880"/>
          </w:tcPr>
          <w:p>
            <w:r>
              <w:t>Collectiverse Knowledge Archive</w:t>
            </w:r>
          </w:p>
        </w:tc>
        <w:tc>
          <w:tcPr>
            <w:tcW w:type="dxa" w:w="2880"/>
          </w:tcPr>
          <w:p>
            <w:r>
              <w:t>Access verified information</w:t>
            </w:r>
          </w:p>
        </w:tc>
        <w:tc>
          <w:tcPr>
            <w:tcW w:type="dxa" w:w="2880"/>
          </w:tcPr>
          <w:p>
            <w:r>
              <w:t>Supports research but never replaces firsthand investigation.</w:t>
            </w:r>
          </w:p>
        </w:tc>
      </w:tr>
      <w:tr>
        <w:tc>
          <w:tcPr>
            <w:tcW w:type="dxa" w:w="2880"/>
          </w:tcPr>
          <w:p>
            <w:r>
              <w:t>Collectiverse Badge</w:t>
            </w:r>
          </w:p>
        </w:tc>
        <w:tc>
          <w:tcPr>
            <w:tcW w:type="dxa" w:w="2880"/>
          </w:tcPr>
          <w:p>
            <w:r>
              <w:t>Official team identification</w:t>
            </w:r>
          </w:p>
        </w:tc>
        <w:tc>
          <w:tcPr>
            <w:tcW w:type="dxa" w:w="2880"/>
          </w:tcPr>
          <w:p>
            <w:r>
              <w:t>Blue hexagonal badge with gold 'C' mounted on the sash.</w:t>
            </w:r>
          </w:p>
        </w:tc>
      </w:tr>
    </w:tbl>
    <w:p>
      <w:pPr>
        <w:pStyle w:val="Heading1"/>
      </w:pPr>
      <w:r>
        <w:t>Core Abilities</w:t>
      </w:r>
    </w:p>
    <w:p>
      <w:pPr>
        <w:pStyle w:val="ListBullet"/>
      </w:pPr>
      <w:r>
        <w:t>Exceptional historical research and source verification.</w:t>
      </w:r>
    </w:p>
    <w:p>
      <w:pPr>
        <w:pStyle w:val="ListBullet"/>
      </w:pPr>
      <w:r>
        <w:t>Identifies provenance and ownership history.</w:t>
      </w:r>
    </w:p>
    <w:p>
      <w:pPr>
        <w:pStyle w:val="ListBullet"/>
      </w:pPr>
      <w:r>
        <w:t>Transforms complex information into engaging stories.</w:t>
      </w:r>
    </w:p>
    <w:p>
      <w:pPr>
        <w:pStyle w:val="ListBullet"/>
      </w:pPr>
      <w:r>
        <w:t>Recognizes patterns across eras, creators, and collections.</w:t>
      </w:r>
    </w:p>
    <w:p>
      <w:pPr>
        <w:pStyle w:val="ListBullet"/>
      </w:pPr>
      <w:r>
        <w:t>Supports teammates with historical context during missions.</w:t>
      </w:r>
    </w:p>
    <w:p>
      <w:pPr>
        <w:pStyle w:val="Heading1"/>
      </w:pPr>
      <w:r>
        <w:t>Operational Workflow</w:t>
      </w:r>
    </w:p>
    <w:p>
      <w:r>
        <w:t>INK approaches every mystery by gathering sources, validating provenance, comparing historical records, consulting witnesses or trusted references, documenting conclusions, and sharing the verified story with the team and community.</w:t>
      </w:r>
    </w:p>
    <w:p>
      <w:pPr>
        <w:pStyle w:val="Heading1"/>
      </w:pPr>
      <w:r>
        <w:t>Operational Limitations</w:t>
      </w:r>
    </w:p>
    <w:p>
      <w:pPr>
        <w:pStyle w:val="ListBullet"/>
      </w:pPr>
      <w:r>
        <w:t>Historical records may be incomplete or conflicting.</w:t>
      </w:r>
    </w:p>
    <w:p>
      <w:pPr>
        <w:pStyle w:val="ListBullet"/>
      </w:pPr>
      <w:r>
        <w:t>Never presents speculation as verified fact.</w:t>
      </w:r>
    </w:p>
    <w:p>
      <w:pPr>
        <w:pStyle w:val="ListBullet"/>
      </w:pPr>
      <w:r>
        <w:t>Requires collaboration when technical or scientific expertise is needed.</w:t>
      </w:r>
    </w:p>
    <w:p>
      <w:pPr>
        <w:pStyle w:val="ListBullet"/>
      </w:pPr>
      <w:r>
        <w:t>Protects sensitive historical information until it can be responsibly verified.</w:t>
      </w:r>
    </w:p>
    <w:p>
      <w:pPr>
        <w:pStyle w:val="Heading1"/>
      </w:pPr>
      <w:r>
        <w:t>Technology &amp; Design Principles</w:t>
      </w:r>
    </w:p>
    <w:p>
      <w:pPr>
        <w:pStyle w:val="ListBullet"/>
      </w:pPr>
      <w:r>
        <w:t>Tools reinforce scholarship rather than combat.</w:t>
      </w:r>
    </w:p>
    <w:p>
      <w:pPr>
        <w:pStyle w:val="ListBullet"/>
      </w:pPr>
      <w:r>
        <w:t>Technology remains elegant, readable, and secondary to storytelling.</w:t>
      </w:r>
    </w:p>
    <w:p>
      <w:pPr>
        <w:pStyle w:val="ListBullet"/>
      </w:pPr>
      <w:r>
        <w:t>Props should communicate craftsmanship, preservation, and authenticity.</w:t>
      </w:r>
    </w:p>
    <w:p>
      <w:pPr>
        <w:pStyle w:val="ListBullet"/>
      </w:pPr>
      <w:r>
        <w:t>Visual effects emphasize discovery instead of spectacle.</w:t>
      </w:r>
    </w:p>
    <w:p>
      <w:pPr>
        <w:pStyle w:val="Heading1"/>
      </w:pPr>
      <w:r>
        <w:t>Canon Lock</w:t>
      </w:r>
    </w:p>
    <w:p>
      <w:r>
        <w:t>INK's equipment, research abilities, operational workflow, and limitations are canonical. Future enhancements may expand his capabilities but must preserve his identity as Collectiverse's trusted historian whose greatest strength is verified knowledge.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