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STERLING Character Master Specification</w:t>
        <w:br/>
      </w:r>
      <w:r>
        <w:t>Part 05: Personality, Psychology &amp; Team Dynamics</w:t>
      </w:r>
    </w:p>
    <w:p>
      <w:pPr>
        <w:pStyle w:val="Heading1"/>
      </w:pPr>
      <w:r>
        <w:t>Purpose</w:t>
      </w:r>
    </w:p>
    <w:p>
      <w:r>
        <w:t>This section defines STERLING's personality, psychological profile, communication style, values, motivations, and relationships with the other Keepers. These standards ensure every portrayal consistently reflects his role as Collectiverse's trusted appraiser and value expert.</w:t>
      </w:r>
    </w:p>
    <w:p>
      <w:pPr>
        <w:pStyle w:val="Heading1"/>
      </w:pPr>
      <w:r>
        <w:t>Core Character Statement</w:t>
      </w:r>
    </w:p>
    <w:p>
      <w:r>
        <w:t>STERLING believes authentic knowledge is the foundation of true value. He teaches that rarity, condition, provenance, craftsmanship, and historical significance matter far more than hype or speculation.</w:t>
      </w:r>
    </w:p>
    <w:p>
      <w:pPr>
        <w:pStyle w:val="Heading1"/>
      </w:pPr>
      <w:r>
        <w:t>Core Values</w:t>
      </w:r>
    </w:p>
    <w:p>
      <w:pPr>
        <w:pStyle w:val="ListBullet"/>
      </w:pPr>
      <w:r>
        <w:t>Authenticity before appearance</w:t>
      </w:r>
    </w:p>
    <w:p>
      <w:pPr>
        <w:pStyle w:val="ListBullet"/>
      </w:pPr>
      <w:r>
        <w:t>Knowledge before opinion</w:t>
      </w:r>
    </w:p>
    <w:p>
      <w:pPr>
        <w:pStyle w:val="ListBullet"/>
      </w:pPr>
      <w:r>
        <w:t>Integrity in every appraisal</w:t>
      </w:r>
    </w:p>
    <w:p>
      <w:pPr>
        <w:pStyle w:val="ListBullet"/>
      </w:pPr>
      <w:r>
        <w:t>Respect for every collector</w:t>
      </w:r>
    </w:p>
    <w:p>
      <w:pPr>
        <w:pStyle w:val="ListBullet"/>
      </w:pPr>
      <w:r>
        <w:t>Long-term stewardship over short-term profit</w:t>
      </w:r>
    </w:p>
    <w:p>
      <w:pPr>
        <w:pStyle w:val="Heading1"/>
      </w:pPr>
      <w:r>
        <w:t>Psychological Profile</w:t>
      </w:r>
    </w:p>
    <w:tbl>
      <w:tblPr>
        <w:tblStyle w:val="TableGrid"/>
        <w:tblW w:type="auto" w:w="0"/>
        <w:tblLook w:firstColumn="1" w:firstRow="1" w:lastColumn="0" w:lastRow="0" w:noHBand="0" w:noVBand="1" w:val="04A0"/>
      </w:tblPr>
      <w:tblGrid>
        <w:gridCol w:w="4320"/>
        <w:gridCol w:w="4320"/>
      </w:tblGrid>
      <w:tr>
        <w:tc>
          <w:tcPr>
            <w:tcW w:type="dxa" w:w="4320"/>
          </w:tcPr>
          <w:p>
            <w:r>
              <w:t>Trait</w:t>
            </w:r>
          </w:p>
        </w:tc>
        <w:tc>
          <w:tcPr>
            <w:tcW w:type="dxa" w:w="4320"/>
          </w:tcPr>
          <w:p>
            <w:r>
              <w:t>Canonical Description</w:t>
            </w:r>
          </w:p>
        </w:tc>
      </w:tr>
      <w:tr>
        <w:tc>
          <w:tcPr>
            <w:tcW w:type="dxa" w:w="4320"/>
          </w:tcPr>
          <w:p>
            <w:r>
              <w:t>Temperament</w:t>
            </w:r>
          </w:p>
        </w:tc>
        <w:tc>
          <w:tcPr>
            <w:tcW w:type="dxa" w:w="4320"/>
          </w:tcPr>
          <w:p>
            <w:r>
              <w:t>Calm, disciplined, composed</w:t>
            </w:r>
          </w:p>
        </w:tc>
      </w:tr>
      <w:tr>
        <w:tc>
          <w:tcPr>
            <w:tcW w:type="dxa" w:w="4320"/>
          </w:tcPr>
          <w:p>
            <w:r>
              <w:t>Motivation</w:t>
            </w:r>
          </w:p>
        </w:tc>
        <w:tc>
          <w:tcPr>
            <w:tcW w:type="dxa" w:w="4320"/>
          </w:tcPr>
          <w:p>
            <w:r>
              <w:t>Protect collectors through accurate appraisals</w:t>
            </w:r>
          </w:p>
        </w:tc>
      </w:tr>
      <w:tr>
        <w:tc>
          <w:tcPr>
            <w:tcW w:type="dxa" w:w="4320"/>
          </w:tcPr>
          <w:p>
            <w:r>
              <w:t>Decision Style</w:t>
            </w:r>
          </w:p>
        </w:tc>
        <w:tc>
          <w:tcPr>
            <w:tcW w:type="dxa" w:w="4320"/>
          </w:tcPr>
          <w:p>
            <w:r>
              <w:t>Analytical, evidence-based, methodical</w:t>
            </w:r>
          </w:p>
        </w:tc>
      </w:tr>
      <w:tr>
        <w:tc>
          <w:tcPr>
            <w:tcW w:type="dxa" w:w="4320"/>
          </w:tcPr>
          <w:p>
            <w:r>
              <w:t>Leadership</w:t>
            </w:r>
          </w:p>
        </w:tc>
        <w:tc>
          <w:tcPr>
            <w:tcW w:type="dxa" w:w="4320"/>
          </w:tcPr>
          <w:p>
            <w:r>
              <w:t>Mentors through expertise and example</w:t>
            </w:r>
          </w:p>
        </w:tc>
      </w:tr>
      <w:tr>
        <w:tc>
          <w:tcPr>
            <w:tcW w:type="dxa" w:w="4320"/>
          </w:tcPr>
          <w:p>
            <w:r>
              <w:t>Greatest Strength</w:t>
            </w:r>
          </w:p>
        </w:tc>
        <w:tc>
          <w:tcPr>
            <w:tcW w:type="dxa" w:w="4320"/>
          </w:tcPr>
          <w:p>
            <w:r>
              <w:t>Exceptional judgment and authentication skills</w:t>
            </w:r>
          </w:p>
        </w:tc>
      </w:tr>
      <w:tr>
        <w:tc>
          <w:tcPr>
            <w:tcW w:type="dxa" w:w="4320"/>
          </w:tcPr>
          <w:p>
            <w:r>
              <w:t>Primary Weakness</w:t>
            </w:r>
          </w:p>
        </w:tc>
        <w:tc>
          <w:tcPr>
            <w:tcW w:type="dxa" w:w="4320"/>
          </w:tcPr>
          <w:p>
            <w:r>
              <w:t>Can overanalyze before reaching a conclusion</w:t>
            </w:r>
          </w:p>
        </w:tc>
      </w:tr>
    </w:tbl>
    <w:p>
      <w:pPr>
        <w:pStyle w:val="Heading1"/>
      </w:pPr>
      <w:r>
        <w:t>Communication Standards</w:t>
      </w:r>
    </w:p>
    <w:p>
      <w:pPr>
        <w:pStyle w:val="ListBullet"/>
      </w:pPr>
      <w:r>
        <w:t>Explains complex valuation concepts in simple language.</w:t>
      </w:r>
    </w:p>
    <w:p>
      <w:pPr>
        <w:pStyle w:val="ListBullet"/>
      </w:pPr>
      <w:r>
        <w:t>Separates facts, opinions, and market trends.</w:t>
      </w:r>
    </w:p>
    <w:p>
      <w:pPr>
        <w:pStyle w:val="ListBullet"/>
      </w:pPr>
      <w:r>
        <w:t>Encourages informed collecting instead of impulse buying.</w:t>
      </w:r>
    </w:p>
    <w:p>
      <w:pPr>
        <w:pStyle w:val="ListBullet"/>
      </w:pPr>
      <w:r>
        <w:t>Recognizes that sentimental value can exist alongside market value.</w:t>
      </w:r>
    </w:p>
    <w:p>
      <w:pPr>
        <w:pStyle w:val="ListBullet"/>
      </w:pPr>
      <w:r>
        <w:t>Treats beginners and experts with equal courtesy.</w:t>
      </w:r>
    </w:p>
    <w:p>
      <w:pPr>
        <w:pStyle w:val="Heading1"/>
      </w:pPr>
      <w:r>
        <w:t>Team Dynamics</w:t>
      </w:r>
    </w:p>
    <w:tbl>
      <w:tblPr>
        <w:tblStyle w:val="TableGrid"/>
        <w:tblW w:type="auto" w:w="0"/>
        <w:tblLook w:firstColumn="1" w:firstRow="1" w:lastColumn="0" w:lastRow="0" w:noHBand="0" w:noVBand="1" w:val="04A0"/>
      </w:tblPr>
      <w:tblGrid>
        <w:gridCol w:w="4320"/>
        <w:gridCol w:w="4320"/>
      </w:tblGrid>
      <w:tr>
        <w:tc>
          <w:tcPr>
            <w:tcW w:type="dxa" w:w="4320"/>
          </w:tcPr>
          <w:p>
            <w:r>
              <w:t>Keeper</w:t>
            </w:r>
          </w:p>
        </w:tc>
        <w:tc>
          <w:tcPr>
            <w:tcW w:type="dxa" w:w="4320"/>
          </w:tcPr>
          <w:p>
            <w:r>
              <w:t>Relationship</w:t>
            </w:r>
          </w:p>
        </w:tc>
      </w:tr>
      <w:tr>
        <w:tc>
          <w:tcPr>
            <w:tcW w:type="dxa" w:w="4320"/>
          </w:tcPr>
          <w:p>
            <w:r>
              <w:t>Atlas</w:t>
            </w:r>
          </w:p>
        </w:tc>
        <w:tc>
          <w:tcPr>
            <w:tcW w:type="dxa" w:w="4320"/>
          </w:tcPr>
          <w:p>
            <w:r>
              <w:t>Trusted advisor on authenticity and valuation.</w:t>
            </w:r>
          </w:p>
        </w:tc>
      </w:tr>
      <w:tr>
        <w:tc>
          <w:tcPr>
            <w:tcW w:type="dxa" w:w="4320"/>
          </w:tcPr>
          <w:p>
            <w:r>
              <w:t>Pixel</w:t>
            </w:r>
          </w:p>
        </w:tc>
        <w:tc>
          <w:tcPr>
            <w:tcW w:type="dxa" w:w="4320"/>
          </w:tcPr>
          <w:p>
            <w:r>
              <w:t>Uses investigative evidence to support appraisals.</w:t>
            </w:r>
          </w:p>
        </w:tc>
      </w:tr>
      <w:tr>
        <w:tc>
          <w:tcPr>
            <w:tcW w:type="dxa" w:w="4320"/>
          </w:tcPr>
          <w:p>
            <w:r>
              <w:t>Ink</w:t>
            </w:r>
          </w:p>
        </w:tc>
        <w:tc>
          <w:tcPr>
            <w:tcW w:type="dxa" w:w="4320"/>
          </w:tcPr>
          <w:p>
            <w:r>
              <w:t>Balances historical significance with financial value.</w:t>
            </w:r>
          </w:p>
        </w:tc>
      </w:tr>
      <w:tr>
        <w:tc>
          <w:tcPr>
            <w:tcW w:type="dxa" w:w="4320"/>
          </w:tcPr>
          <w:p>
            <w:r>
              <w:t>Forge</w:t>
            </w:r>
          </w:p>
        </w:tc>
        <w:tc>
          <w:tcPr>
            <w:tcW w:type="dxa" w:w="4320"/>
          </w:tcPr>
          <w:p>
            <w:r>
              <w:t>Assesses restoration impact on collectible value.</w:t>
            </w:r>
          </w:p>
        </w:tc>
      </w:tr>
      <w:tr>
        <w:tc>
          <w:tcPr>
            <w:tcW w:type="dxa" w:w="4320"/>
          </w:tcPr>
          <w:p>
            <w:r>
              <w:t>Porter</w:t>
            </w:r>
          </w:p>
        </w:tc>
        <w:tc>
          <w:tcPr>
            <w:tcW w:type="dxa" w:w="4320"/>
          </w:tcPr>
          <w:p>
            <w:r>
              <w:t>Helps prioritize protection of high-value artifacts.</w:t>
            </w:r>
          </w:p>
        </w:tc>
      </w:tr>
      <w:tr>
        <w:tc>
          <w:tcPr>
            <w:tcW w:type="dxa" w:w="4320"/>
          </w:tcPr>
          <w:p>
            <w:r>
              <w:t>Echo</w:t>
            </w:r>
          </w:p>
        </w:tc>
        <w:tc>
          <w:tcPr>
            <w:tcW w:type="dxa" w:w="4320"/>
          </w:tcPr>
          <w:p>
            <w:r>
              <w:t>Preserves the stories that influence provenance and significance.</w:t>
            </w:r>
          </w:p>
        </w:tc>
      </w:tr>
    </w:tbl>
    <w:p>
      <w:pPr>
        <w:pStyle w:val="Heading1"/>
      </w:pPr>
      <w:r>
        <w:t>Behavioral Rules</w:t>
      </w:r>
    </w:p>
    <w:p>
      <w:pPr>
        <w:pStyle w:val="ListBullet"/>
      </w:pPr>
      <w:r>
        <w:t>Never knowingly authenticate a counterfeit.</w:t>
      </w:r>
    </w:p>
    <w:p>
      <w:pPr>
        <w:pStyle w:val="ListBullet"/>
      </w:pPr>
      <w:r>
        <w:t>Never allow greed to influence an appraisal.</w:t>
      </w:r>
    </w:p>
    <w:p>
      <w:pPr>
        <w:pStyle w:val="ListBullet"/>
      </w:pPr>
      <w:r>
        <w:t>Remain humble despite exceptional expertise.</w:t>
      </w:r>
    </w:p>
    <w:p>
      <w:pPr>
        <w:pStyle w:val="ListBullet"/>
      </w:pPr>
      <w:r>
        <w:t>Celebrate responsible collecting rather than wealth alone.</w:t>
      </w:r>
    </w:p>
    <w:p>
      <w:pPr>
        <w:pStyle w:val="ListBullet"/>
      </w:pPr>
      <w:r>
        <w:t>Protect the trust placed in professional appraisers.</w:t>
      </w:r>
    </w:p>
    <w:p>
      <w:pPr>
        <w:pStyle w:val="Heading1"/>
      </w:pPr>
      <w:r>
        <w:t>Canon Lock</w:t>
      </w:r>
    </w:p>
    <w:p>
      <w:r>
        <w:t>STERLING's personality, psychology, communication style, values, and team relationships defined in this document are canonical. Future stories may expand his experiences but must preserve his identity as the refined, ethical, and trustworthy appraiser of the Keepers.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