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06: Relationships, Story Role &amp; Narrative Standards</w:t>
      </w:r>
    </w:p>
    <w:p>
      <w:pPr>
        <w:pStyle w:val="Heading1"/>
      </w:pPr>
      <w:r>
        <w:t>Purpose</w:t>
      </w:r>
    </w:p>
    <w:p>
      <w:r>
        <w:t>This section defines STERLING's narrative responsibilities, relationships with allies and adversaries, story function, dialogue boundaries, and franchise storytelling standards. These rules ensure STERLING consistently fulfills his role as Collectiverse's trusted authority on authenticity, appraisal, and responsible collecting.</w:t>
      </w:r>
    </w:p>
    <w:p>
      <w:pPr>
        <w:pStyle w:val="Heading1"/>
      </w:pPr>
      <w:r>
        <w:t>Primary Narrative Role</w:t>
      </w:r>
    </w:p>
    <w:p>
      <w:r>
        <w:t>STERLING serves as the team's appraiser and authentication specialist. He explains why authenticity, provenance, craftsmanship, rarity, and condition determine lasting value. His expertise helps collectors make informed decisions while exposing fraud and misinformation.</w:t>
      </w:r>
    </w:p>
    <w:p>
      <w:pPr>
        <w:pStyle w:val="Heading1"/>
      </w:pPr>
      <w:r>
        <w:t>Relationships with the Keepers</w:t>
      </w:r>
    </w:p>
    <w:tbl>
      <w:tblPr>
        <w:tblStyle w:val="TableGrid"/>
        <w:tblW w:type="auto" w:w="0"/>
        <w:tblLook w:firstColumn="1" w:firstRow="1" w:lastColumn="0" w:lastRow="0" w:noHBand="0" w:noVBand="1" w:val="04A0"/>
      </w:tblPr>
      <w:tblGrid>
        <w:gridCol w:w="4320"/>
        <w:gridCol w:w="4320"/>
      </w:tblGrid>
      <w:tr>
        <w:tc>
          <w:tcPr>
            <w:tcW w:type="dxa" w:w="4320"/>
          </w:tcPr>
          <w:p>
            <w:r>
              <w:t>Character</w:t>
            </w:r>
          </w:p>
        </w:tc>
        <w:tc>
          <w:tcPr>
            <w:tcW w:type="dxa" w:w="4320"/>
          </w:tcPr>
          <w:p>
            <w:r>
              <w:t>Narrative Relationship</w:t>
            </w:r>
          </w:p>
        </w:tc>
      </w:tr>
      <w:tr>
        <w:tc>
          <w:tcPr>
            <w:tcW w:type="dxa" w:w="4320"/>
          </w:tcPr>
          <w:p>
            <w:r>
              <w:t>Atlas</w:t>
            </w:r>
          </w:p>
        </w:tc>
        <w:tc>
          <w:tcPr>
            <w:tcW w:type="dxa" w:w="4320"/>
          </w:tcPr>
          <w:p>
            <w:r>
              <w:t>Acts as Atlas's trusted advisor on valuation, authentication, and collectible significance.</w:t>
            </w:r>
          </w:p>
        </w:tc>
      </w:tr>
      <w:tr>
        <w:tc>
          <w:tcPr>
            <w:tcW w:type="dxa" w:w="4320"/>
          </w:tcPr>
          <w:p>
            <w:r>
              <w:t>Pixel</w:t>
            </w:r>
          </w:p>
        </w:tc>
        <w:tc>
          <w:tcPr>
            <w:tcW w:type="dxa" w:w="4320"/>
          </w:tcPr>
          <w:p>
            <w:r>
              <w:t>Combines investigative evidence with expert appraisal to reach accurate conclusions.</w:t>
            </w:r>
          </w:p>
        </w:tc>
      </w:tr>
      <w:tr>
        <w:tc>
          <w:tcPr>
            <w:tcW w:type="dxa" w:w="4320"/>
          </w:tcPr>
          <w:p>
            <w:r>
              <w:t>Ink</w:t>
            </w:r>
          </w:p>
        </w:tc>
        <w:tc>
          <w:tcPr>
            <w:tcW w:type="dxa" w:w="4320"/>
          </w:tcPr>
          <w:p>
            <w:r>
              <w:t>Balances historical importance with financial and collectible value.</w:t>
            </w:r>
          </w:p>
        </w:tc>
      </w:tr>
      <w:tr>
        <w:tc>
          <w:tcPr>
            <w:tcW w:type="dxa" w:w="4320"/>
          </w:tcPr>
          <w:p>
            <w:r>
              <w:t>Forge</w:t>
            </w:r>
          </w:p>
        </w:tc>
        <w:tc>
          <w:tcPr>
            <w:tcW w:type="dxa" w:w="4320"/>
          </w:tcPr>
          <w:p>
            <w:r>
              <w:t>Evaluates how restoration affects originality, desirability, and long-term value.</w:t>
            </w:r>
          </w:p>
        </w:tc>
      </w:tr>
      <w:tr>
        <w:tc>
          <w:tcPr>
            <w:tcW w:type="dxa" w:w="4320"/>
          </w:tcPr>
          <w:p>
            <w:r>
              <w:t>Porter</w:t>
            </w:r>
          </w:p>
        </w:tc>
        <w:tc>
          <w:tcPr>
            <w:tcW w:type="dxa" w:w="4320"/>
          </w:tcPr>
          <w:p>
            <w:r>
              <w:t>Helps identify which artifacts require the highest level of protection.</w:t>
            </w:r>
          </w:p>
        </w:tc>
      </w:tr>
      <w:tr>
        <w:tc>
          <w:tcPr>
            <w:tcW w:type="dxa" w:w="4320"/>
          </w:tcPr>
          <w:p>
            <w:r>
              <w:t>Echo</w:t>
            </w:r>
          </w:p>
        </w:tc>
        <w:tc>
          <w:tcPr>
            <w:tcW w:type="dxa" w:w="4320"/>
          </w:tcPr>
          <w:p>
            <w:r>
              <w:t>Connects provenance, memory, and historical context to complete an appraisal.</w:t>
            </w:r>
          </w:p>
        </w:tc>
      </w:tr>
    </w:tbl>
    <w:p>
      <w:pPr>
        <w:pStyle w:val="Heading1"/>
      </w:pPr>
      <w:r>
        <w:t>Relationships with The Syndicate</w:t>
      </w:r>
    </w:p>
    <w:p>
      <w:pPr>
        <w:pStyle w:val="ListBullet"/>
      </w:pPr>
      <w:r>
        <w:t>Opposes The Counterfeiter by exposing forged collectibles and false authentication.</w:t>
      </w:r>
    </w:p>
    <w:p>
      <w:pPr>
        <w:pStyle w:val="ListBullet"/>
      </w:pPr>
      <w:r>
        <w:t>Challenges The Broker by rejecting artificial market manipulation and speculation.</w:t>
      </w:r>
    </w:p>
    <w:p>
      <w:pPr>
        <w:pStyle w:val="ListBullet"/>
      </w:pPr>
      <w:r>
        <w:t>Works with Pixel to uncover evidence hidden by The Hacker.</w:t>
      </w:r>
    </w:p>
    <w:p>
      <w:pPr>
        <w:pStyle w:val="ListBullet"/>
      </w:pPr>
      <w:r>
        <w:t>Supports Ink in preserving provenance against The Restorer's alterations.</w:t>
      </w:r>
    </w:p>
    <w:p>
      <w:pPr>
        <w:pStyle w:val="ListBullet"/>
      </w:pPr>
      <w:r>
        <w:t>Assists Atlas in protecting collectors from The Director's long-term schemes.</w:t>
      </w:r>
    </w:p>
    <w:p>
      <w:pPr>
        <w:pStyle w:val="Heading1"/>
      </w:pPr>
      <w:r>
        <w:t>Storytelling Standards</w:t>
      </w:r>
    </w:p>
    <w:p>
      <w:pPr>
        <w:pStyle w:val="ListBullet"/>
      </w:pPr>
      <w:r>
        <w:t>Every appraisal should educate as well as entertain.</w:t>
      </w:r>
    </w:p>
    <w:p>
      <w:pPr>
        <w:pStyle w:val="ListBullet"/>
      </w:pPr>
      <w:r>
        <w:t>Authentication should reinforce trust rather than superiority.</w:t>
      </w:r>
    </w:p>
    <w:p>
      <w:pPr>
        <w:pStyle w:val="ListBullet"/>
      </w:pPr>
      <w:r>
        <w:t>Market value should never overshadow historical or sentimental value.</w:t>
      </w:r>
    </w:p>
    <w:p>
      <w:pPr>
        <w:pStyle w:val="ListBullet"/>
      </w:pPr>
      <w:r>
        <w:t>Episodes should encourage ethical collecting and informed decision-making.</w:t>
      </w:r>
    </w:p>
    <w:p>
      <w:pPr>
        <w:pStyle w:val="Heading1"/>
      </w:pPr>
      <w:r>
        <w:t>Dialogue Boundaries</w:t>
      </w:r>
    </w:p>
    <w:p>
      <w:r>
        <w:t>STERLING speaks with precision, courtesy, and confidence. He distinguishes verified facts from market opinions, avoids sensational claims, and explains complex concepts in language appropriate for collectors of all experience levels.</w:t>
      </w:r>
    </w:p>
    <w:p>
      <w:pPr>
        <w:pStyle w:val="Heading1"/>
      </w:pPr>
      <w:r>
        <w:t>Narrative Restrictions</w:t>
      </w:r>
    </w:p>
    <w:p>
      <w:pPr>
        <w:pStyle w:val="ListBullet"/>
      </w:pPr>
      <w:r>
        <w:t>Never knowingly authenticate a counterfeit item.</w:t>
      </w:r>
    </w:p>
    <w:p>
      <w:pPr>
        <w:pStyle w:val="ListBullet"/>
      </w:pPr>
      <w:r>
        <w:t>Never promote speculation over evidence.</w:t>
      </w:r>
    </w:p>
    <w:p>
      <w:pPr>
        <w:pStyle w:val="ListBullet"/>
      </w:pPr>
      <w:r>
        <w:t>Never place personal prestige above protecting collectors.</w:t>
      </w:r>
    </w:p>
    <w:p>
      <w:pPr>
        <w:pStyle w:val="ListBullet"/>
      </w:pPr>
      <w:r>
        <w:t>Remain an educator and mentor rather than an elitist authority.</w:t>
      </w:r>
    </w:p>
    <w:p>
      <w:pPr>
        <w:pStyle w:val="Heading1"/>
      </w:pPr>
      <w:r>
        <w:t>Canon Lock</w:t>
      </w:r>
    </w:p>
    <w:p>
      <w:r>
        <w:t>These relationship, narrative, dialogue, and storytelling standards are canonical. Future productions may expand STERLING's adventures, but his identity as Collectiverse's ethical appraiser and champion of authenticity must remain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