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08: Licensing, Merchandise, Manufacturing &amp; Brand Protection Standards</w:t>
      </w:r>
    </w:p>
    <w:p>
      <w:pPr>
        <w:pStyle w:val="Heading1"/>
      </w:pPr>
      <w:r>
        <w:t>Purpose</w:t>
      </w:r>
    </w:p>
    <w:p>
      <w:r>
        <w:t>This document establishes the canonical standards governing the licensing, merchandising, manufacturing, quality assurance, and brand protection of STERLING. Every licensed product must preserve his identity as the Collectiverse team's refined appraiser and trusted authority on authenticity.</w:t>
      </w:r>
    </w:p>
    <w:p>
      <w:pPr>
        <w:pStyle w:val="Heading1"/>
      </w:pPr>
      <w:r>
        <w:t>Approved Merchandise Categories</w:t>
      </w:r>
    </w:p>
    <w:p>
      <w:pPr>
        <w:pStyle w:val="ListBullet"/>
      </w:pPr>
      <w:r>
        <w:t>PVC, resin, and premium collectible figures</w:t>
      </w:r>
    </w:p>
    <w:p>
      <w:pPr>
        <w:pStyle w:val="ListBullet"/>
      </w:pPr>
      <w:r>
        <w:t>Plush toys and designer vinyl collectibles</w:t>
      </w:r>
    </w:p>
    <w:p>
      <w:pPr>
        <w:pStyle w:val="ListBullet"/>
      </w:pPr>
      <w:r>
        <w:t>Trading cards and promotional cards</w:t>
      </w:r>
    </w:p>
    <w:p>
      <w:pPr>
        <w:pStyle w:val="ListBullet"/>
      </w:pPr>
      <w:r>
        <w:t>Apparel, hats, and accessories</w:t>
      </w:r>
    </w:p>
    <w:p>
      <w:pPr>
        <w:pStyle w:val="ListBullet"/>
      </w:pPr>
      <w:r>
        <w:t>Books, comics, educational products, and stationery</w:t>
      </w:r>
    </w:p>
    <w:p>
      <w:pPr>
        <w:pStyle w:val="ListBullet"/>
      </w:pPr>
      <w:r>
        <w:t>Pins, patches, coins, and premium display items</w:t>
      </w:r>
    </w:p>
    <w:p>
      <w:pPr>
        <w:pStyle w:val="ListBullet"/>
      </w:pPr>
      <w:r>
        <w:t>Digital collectibles, avatars, and game cosmetics</w:t>
      </w:r>
    </w:p>
    <w:p>
      <w:pPr>
        <w:pStyle w:val="Heading1"/>
      </w:pPr>
      <w:r>
        <w:t>Visual Brand Standards</w:t>
      </w:r>
    </w:p>
    <w:p>
      <w:pPr>
        <w:pStyle w:val="ListBullet"/>
      </w:pPr>
      <w:r>
        <w:t>Grey-blue British Shorthair fur must match approved reference artwork.</w:t>
      </w:r>
    </w:p>
    <w:p>
      <w:pPr>
        <w:pStyle w:val="ListBullet"/>
      </w:pPr>
      <w:r>
        <w:t>Gold monocle is mandatory and remains over the right eye.</w:t>
      </w:r>
    </w:p>
    <w:p>
      <w:pPr>
        <w:pStyle w:val="ListBullet"/>
      </w:pPr>
      <w:r>
        <w:t>Cream vest, silver cravat, white gloves, and official Collectiverse badge are required unless a story-specific variant is approved.</w:t>
      </w:r>
    </w:p>
    <w:p>
      <w:pPr>
        <w:pStyle w:val="ListBullet"/>
      </w:pPr>
      <w:r>
        <w:t>Luxury is communicated through craftsmanship and tailoring—not excessive ornamentation.</w:t>
      </w:r>
    </w:p>
    <w:p>
      <w:pPr>
        <w:pStyle w:val="ListBullet"/>
      </w:pPr>
      <w:r>
        <w:t>Chibi proportions and approachable expression must always be preserved.</w:t>
      </w:r>
    </w:p>
    <w:p>
      <w:pPr>
        <w:pStyle w:val="Heading1"/>
      </w:pPr>
      <w:r>
        <w:t>Manufacturing Standards</w:t>
      </w:r>
    </w:p>
    <w:p>
      <w:r>
        <w:t>All physical products shall use approved digital master files. Sculpts, paint masks, fabric patterns, packaging, and color proofs must pass canonical review before production.</w:t>
      </w:r>
    </w:p>
    <w:p>
      <w:pPr>
        <w:pStyle w:val="ListBullet"/>
      </w:pPr>
      <w:r>
        <w:t>Maintain consistent proportions across all scales.</w:t>
      </w:r>
    </w:p>
    <w:p>
      <w:pPr>
        <w:pStyle w:val="ListBullet"/>
      </w:pPr>
      <w:r>
        <w:t>Use premium finishes appropriate to the product category.</w:t>
      </w:r>
    </w:p>
    <w:p>
      <w:pPr>
        <w:pStyle w:val="ListBullet"/>
      </w:pPr>
      <w:r>
        <w:t>Verify monocle, badge, and wardrobe placement during quality control.</w:t>
      </w:r>
    </w:p>
    <w:p>
      <w:pPr>
        <w:pStyle w:val="ListBullet"/>
      </w:pPr>
      <w:r>
        <w:t>Reject products that materially alter the approved silhouette.</w:t>
      </w:r>
    </w:p>
    <w:p>
      <w:pPr>
        <w:pStyle w:val="Heading1"/>
      </w:pPr>
      <w:r>
        <w:t>Brand Protection</w:t>
      </w:r>
    </w:p>
    <w:p>
      <w:pPr>
        <w:pStyle w:val="ListBullet"/>
      </w:pPr>
      <w:r>
        <w:t>No unauthorized redesigns or costume substitutions.</w:t>
      </w:r>
    </w:p>
    <w:p>
      <w:pPr>
        <w:pStyle w:val="ListBullet"/>
      </w:pPr>
      <w:r>
        <w:t>No removal of signature authentication accessories without approval.</w:t>
      </w:r>
    </w:p>
    <w:p>
      <w:pPr>
        <w:pStyle w:val="ListBullet"/>
      </w:pPr>
      <w:r>
        <w:t>No use that promotes unethical collecting, fraud, or counterfeit activity.</w:t>
      </w:r>
    </w:p>
    <w:p>
      <w:pPr>
        <w:pStyle w:val="ListBullet"/>
      </w:pPr>
      <w:r>
        <w:t>All marketing must reinforce Collectiverse's educational and community-focused values.</w:t>
      </w:r>
    </w:p>
    <w:p>
      <w:pPr>
        <w:pStyle w:val="Heading1"/>
      </w:pPr>
      <w:r>
        <w:t>Licensing Workflow</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Requirement</w:t>
            </w:r>
          </w:p>
        </w:tc>
      </w:tr>
      <w:tr>
        <w:tc>
          <w:tcPr>
            <w:tcW w:type="dxa" w:w="4320"/>
          </w:tcPr>
          <w:p>
            <w:r>
              <w:t>Concept Review</w:t>
            </w:r>
          </w:p>
        </w:tc>
        <w:tc>
          <w:tcPr>
            <w:tcW w:type="dxa" w:w="4320"/>
          </w:tcPr>
          <w:p>
            <w:r>
              <w:t>Initial creative review against canonical standards.</w:t>
            </w:r>
          </w:p>
        </w:tc>
      </w:tr>
      <w:tr>
        <w:tc>
          <w:tcPr>
            <w:tcW w:type="dxa" w:w="4320"/>
          </w:tcPr>
          <w:p>
            <w:r>
              <w:t>Design Approval</w:t>
            </w:r>
          </w:p>
        </w:tc>
        <w:tc>
          <w:tcPr>
            <w:tcW w:type="dxa" w:w="4320"/>
          </w:tcPr>
          <w:p>
            <w:r>
              <w:t>Artwork, sculpt, or digital assets approved.</w:t>
            </w:r>
          </w:p>
        </w:tc>
      </w:tr>
      <w:tr>
        <w:tc>
          <w:tcPr>
            <w:tcW w:type="dxa" w:w="4320"/>
          </w:tcPr>
          <w:p>
            <w:r>
              <w:t>Prototype Review</w:t>
            </w:r>
          </w:p>
        </w:tc>
        <w:tc>
          <w:tcPr>
            <w:tcW w:type="dxa" w:w="4320"/>
          </w:tcPr>
          <w:p>
            <w:r>
              <w:t>Physical or digital prototype validated.</w:t>
            </w:r>
          </w:p>
        </w:tc>
      </w:tr>
      <w:tr>
        <w:tc>
          <w:tcPr>
            <w:tcW w:type="dxa" w:w="4320"/>
          </w:tcPr>
          <w:p>
            <w:r>
              <w:t>Production QA</w:t>
            </w:r>
          </w:p>
        </w:tc>
        <w:tc>
          <w:tcPr>
            <w:tcW w:type="dxa" w:w="4320"/>
          </w:tcPr>
          <w:p>
            <w:r>
              <w:t>Manufacturing quality verified.</w:t>
            </w:r>
          </w:p>
        </w:tc>
      </w:tr>
      <w:tr>
        <w:tc>
          <w:tcPr>
            <w:tcW w:type="dxa" w:w="4320"/>
          </w:tcPr>
          <w:p>
            <w:r>
              <w:t>Final Release</w:t>
            </w:r>
          </w:p>
        </w:tc>
        <w:tc>
          <w:tcPr>
            <w:tcW w:type="dxa" w:w="4320"/>
          </w:tcPr>
          <w:p>
            <w:r>
              <w:t>Licensed product authorized for distribution.</w:t>
            </w:r>
          </w:p>
        </w:tc>
      </w:tr>
    </w:tbl>
    <w:p>
      <w:pPr>
        <w:pStyle w:val="Heading1"/>
      </w:pPr>
      <w:r>
        <w:t>Canon Lock</w:t>
      </w:r>
    </w:p>
    <w:p>
      <w:r>
        <w:t>These licensing, merchandising, manufacturing, and brand protection standards are canonical. Every official STERLING product must preserve his recognizable appearance, ethical identity, and premium Collectiverse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